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3F16BE">
        <w:rPr>
          <w:rFonts w:ascii="黑体" w:eastAsia="黑体" w:hAnsi="黑体" w:cs="黑体" w:hint="eastAsia"/>
          <w:b/>
          <w:bCs/>
          <w:color w:val="auto"/>
          <w:kern w:val="2"/>
          <w:sz w:val="32"/>
          <w:szCs w:val="32"/>
        </w:rPr>
        <w:t>5</w:t>
      </w:r>
      <w:r w:rsidR="00135E18">
        <w:rPr>
          <w:rFonts w:ascii="黑体" w:eastAsia="黑体" w:hAnsi="黑体" w:cs="黑体" w:hint="eastAsia"/>
          <w:b/>
          <w:bCs/>
          <w:color w:val="auto"/>
          <w:kern w:val="2"/>
          <w:sz w:val="32"/>
          <w:szCs w:val="32"/>
        </w:rPr>
        <w:t>3</w:t>
      </w:r>
      <w:r>
        <w:rPr>
          <w:rFonts w:ascii="黑体" w:eastAsia="黑体" w:hAnsi="黑体" w:cs="黑体" w:hint="eastAsia"/>
          <w:b/>
          <w:bCs/>
          <w:color w:val="auto"/>
          <w:kern w:val="2"/>
          <w:sz w:val="32"/>
          <w:szCs w:val="32"/>
        </w:rPr>
        <w:t>期产品说明书</w:t>
      </w:r>
    </w:p>
    <w:p w:rsidR="001B27D4" w:rsidRDefault="00A62074" w:rsidP="00135E18">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135E18">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135E18" w:rsidTr="00E032F3">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紫金农商银行个人结构性存款2025053期</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4"/>
              </w:rPr>
            </w:pPr>
            <w:r>
              <w:rPr>
                <w:rFonts w:ascii="仿宋_GB2312" w:eastAsia="仿宋_GB2312" w:hAnsi="宋体" w:cs="宋体" w:hint="eastAsia"/>
                <w:kern w:val="0"/>
                <w:sz w:val="24"/>
              </w:rPr>
              <w:t>0112500053</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30天</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b/>
                <w:kern w:val="0"/>
                <w:sz w:val="24"/>
              </w:rPr>
            </w:pPr>
            <w:r>
              <w:rPr>
                <w:rFonts w:ascii="仿宋_GB2312" w:eastAsia="仿宋_GB2312" w:hAnsi="宋体" w:cs="宋体" w:hint="eastAsia"/>
                <w:b/>
                <w:kern w:val="0"/>
                <w:sz w:val="24"/>
              </w:rPr>
              <w:t>2025年5月6日14:00—2025年5月12日14:00</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b/>
                <w:kern w:val="0"/>
                <w:sz w:val="24"/>
              </w:rPr>
            </w:pPr>
            <w:r>
              <w:rPr>
                <w:rFonts w:ascii="仿宋_GB2312" w:eastAsia="仿宋_GB2312" w:hAnsi="宋体" w:cs="宋体" w:hint="eastAsia"/>
                <w:b/>
                <w:kern w:val="0"/>
                <w:sz w:val="24"/>
              </w:rPr>
              <w:t>2025年5月14日</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2025年6月13日</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135E18" w:rsidTr="00E032F3">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rPr>
                <w:rFonts w:ascii="仿宋_GB2312" w:eastAsia="仿宋_GB2312"/>
                <w:sz w:val="22"/>
                <w:szCs w:val="28"/>
              </w:rPr>
            </w:pPr>
            <w:proofErr w:type="gramStart"/>
            <w:r>
              <w:rPr>
                <w:rFonts w:ascii="仿宋_GB2312" w:eastAsia="仿宋_GB2312" w:hint="eastAsia"/>
                <w:b/>
                <w:bCs/>
                <w:sz w:val="22"/>
                <w:szCs w:val="28"/>
              </w:rPr>
              <w:t>预期年化收益率</w:t>
            </w:r>
            <w:proofErr w:type="gramEnd"/>
            <w:r>
              <w:rPr>
                <w:rFonts w:ascii="仿宋_GB2312" w:eastAsia="仿宋_GB2312" w:hint="eastAsia"/>
                <w:sz w:val="22"/>
                <w:szCs w:val="28"/>
              </w:rPr>
              <w:t>：1.30</w:t>
            </w:r>
            <w:r>
              <w:rPr>
                <w:rFonts w:ascii="仿宋_GB2312" w:eastAsia="仿宋_GB2312"/>
                <w:sz w:val="22"/>
                <w:szCs w:val="28"/>
              </w:rPr>
              <w:t>%或</w:t>
            </w:r>
            <w:r>
              <w:rPr>
                <w:rFonts w:ascii="仿宋_GB2312" w:eastAsia="仿宋_GB2312" w:hint="eastAsia"/>
                <w:sz w:val="22"/>
                <w:szCs w:val="28"/>
              </w:rPr>
              <w:t>1.75%或1.95</w:t>
            </w:r>
            <w:r>
              <w:rPr>
                <w:rFonts w:ascii="仿宋_GB2312" w:eastAsia="仿宋_GB2312"/>
                <w:sz w:val="22"/>
                <w:szCs w:val="28"/>
              </w:rPr>
              <w:t>%</w:t>
            </w:r>
            <w:r>
              <w:rPr>
                <w:rFonts w:ascii="仿宋_GB2312" w:eastAsia="仿宋_GB2312" w:hint="eastAsia"/>
                <w:sz w:val="22"/>
                <w:szCs w:val="28"/>
              </w:rPr>
              <w:t>。</w:t>
            </w:r>
          </w:p>
          <w:p w:rsidR="00135E18" w:rsidRDefault="00135E18"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若期末观察日挂钩标的价格大于【起息日挂钩标的价格+30BP】，则到期收益率为1.30%；</w:t>
            </w:r>
          </w:p>
          <w:p w:rsidR="00135E18" w:rsidRDefault="00135E18"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若期末观察日挂钩标的价格大于【起息日挂钩标的价格-10BP】且小于或等于【起息日挂钩标的价格+30BP】,则到期收益率为1.75%;</w:t>
            </w:r>
          </w:p>
          <w:p w:rsidR="00135E18" w:rsidRDefault="00135E18"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若期末观察日挂钩标的价格小于或等于【起息日挂钩标的价格-10BP】,则到期收益率为1.95%。</w:t>
            </w:r>
          </w:p>
          <w:p w:rsidR="00135E18" w:rsidRDefault="00135E18" w:rsidP="00E032F3">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135E18" w:rsidRDefault="00135E18" w:rsidP="00E032F3">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w:t>
            </w:r>
            <w:proofErr w:type="gramStart"/>
            <w:r>
              <w:rPr>
                <w:rFonts w:ascii="仿宋_GB2312" w:eastAsia="仿宋_GB2312" w:hint="eastAsia"/>
                <w:sz w:val="22"/>
                <w:szCs w:val="28"/>
              </w:rPr>
              <w:t>交易日但无法</w:t>
            </w:r>
            <w:proofErr w:type="gramEnd"/>
            <w:r>
              <w:rPr>
                <w:rFonts w:ascii="仿宋_GB2312" w:eastAsia="仿宋_GB2312" w:hint="eastAsia"/>
                <w:sz w:val="22"/>
                <w:szCs w:val="28"/>
              </w:rPr>
              <w:t>从上述页面获得该利率，则使用可获得该利率的最近一个观察日的挂钩标的利率，作为</w:t>
            </w:r>
            <w:proofErr w:type="gramStart"/>
            <w:r>
              <w:rPr>
                <w:rFonts w:ascii="仿宋_GB2312" w:eastAsia="仿宋_GB2312" w:hint="eastAsia"/>
                <w:sz w:val="22"/>
                <w:szCs w:val="28"/>
              </w:rPr>
              <w:t>该观察</w:t>
            </w:r>
            <w:proofErr w:type="gramEnd"/>
            <w:r>
              <w:rPr>
                <w:rFonts w:ascii="仿宋_GB2312" w:eastAsia="仿宋_GB2312" w:hint="eastAsia"/>
                <w:sz w:val="22"/>
                <w:szCs w:val="28"/>
              </w:rPr>
              <w:t>日挂钩标的</w:t>
            </w:r>
            <w:proofErr w:type="gramStart"/>
            <w:r>
              <w:rPr>
                <w:rFonts w:ascii="仿宋_GB2312" w:eastAsia="仿宋_GB2312" w:hint="eastAsia"/>
                <w:sz w:val="22"/>
                <w:szCs w:val="28"/>
              </w:rPr>
              <w:t>的</w:t>
            </w:r>
            <w:proofErr w:type="gramEnd"/>
            <w:r>
              <w:rPr>
                <w:rFonts w:ascii="仿宋_GB2312" w:eastAsia="仿宋_GB2312" w:hint="eastAsia"/>
                <w:sz w:val="22"/>
                <w:szCs w:val="28"/>
              </w:rPr>
              <w:t>利率。</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产品规模下限</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135E18"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135E18" w:rsidTr="00E032F3">
        <w:trPr>
          <w:trHeight w:val="48"/>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135E18" w:rsidRDefault="00135E18"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135E18" w:rsidRDefault="00135E18" w:rsidP="00E032F3">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w:t>
            </w:r>
            <w:proofErr w:type="gramStart"/>
            <w:r>
              <w:rPr>
                <w:rFonts w:ascii="仿宋_GB2312" w:eastAsia="仿宋_GB2312" w:hAnsi="宋体" w:cs="宋体" w:hint="eastAsia"/>
                <w:kern w:val="0"/>
                <w:sz w:val="22"/>
              </w:rPr>
              <w:t>日间不</w:t>
            </w:r>
            <w:proofErr w:type="gramEnd"/>
            <w:r>
              <w:rPr>
                <w:rFonts w:ascii="仿宋_GB2312" w:eastAsia="仿宋_GB2312" w:hAnsi="宋体" w:cs="宋体" w:hint="eastAsia"/>
                <w:kern w:val="0"/>
                <w:sz w:val="22"/>
              </w:rPr>
              <w:t>另付利息。</w:t>
            </w:r>
          </w:p>
        </w:tc>
      </w:tr>
    </w:tbl>
    <w:p w:rsidR="001B27D4" w:rsidRDefault="00A62074" w:rsidP="00135E18">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w:t>
      </w:r>
      <w:proofErr w:type="gramStart"/>
      <w:r>
        <w:rPr>
          <w:rFonts w:ascii="仿宋_GB2312" w:eastAsia="仿宋_GB2312" w:hAnsi="宋体" w:hint="eastAsia"/>
          <w:sz w:val="32"/>
          <w:szCs w:val="32"/>
        </w:rPr>
        <w:t>本期次</w:t>
      </w:r>
      <w:proofErr w:type="gramEnd"/>
      <w:r>
        <w:rPr>
          <w:rFonts w:ascii="仿宋_GB2312" w:eastAsia="仿宋_GB2312" w:hAnsi="宋体" w:hint="eastAsia"/>
          <w:sz w:val="32"/>
          <w:szCs w:val="32"/>
        </w:rPr>
        <w:t>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w:t>
      </w:r>
      <w:proofErr w:type="gramStart"/>
      <w:r>
        <w:rPr>
          <w:rFonts w:ascii="仿宋_GB2312" w:eastAsia="仿宋_GB2312" w:hAnsi="宋体" w:hint="eastAsia"/>
          <w:sz w:val="32"/>
          <w:szCs w:val="32"/>
        </w:rPr>
        <w:t>入投资</w:t>
      </w:r>
      <w:proofErr w:type="gramEnd"/>
      <w:r>
        <w:rPr>
          <w:rFonts w:ascii="仿宋_GB2312" w:eastAsia="仿宋_GB2312" w:hAnsi="宋体" w:hint="eastAsia"/>
          <w:sz w:val="32"/>
          <w:szCs w:val="32"/>
        </w:rPr>
        <w:t>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w:t>
      </w:r>
      <w:proofErr w:type="gramStart"/>
      <w:r>
        <w:rPr>
          <w:rFonts w:ascii="仿宋_GB2312" w:eastAsia="仿宋_GB2312" w:hAnsi="宋体" w:hint="eastAsia"/>
          <w:sz w:val="32"/>
          <w:szCs w:val="32"/>
        </w:rPr>
        <w:t>认购总</w:t>
      </w:r>
      <w:proofErr w:type="gramEnd"/>
      <w:r>
        <w:rPr>
          <w:rFonts w:ascii="仿宋_GB2312" w:eastAsia="仿宋_GB2312" w:hAnsi="宋体" w:hint="eastAsia"/>
          <w:sz w:val="32"/>
          <w:szCs w:val="32"/>
        </w:rPr>
        <w:t>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 xml:space="preserve">2 </w:t>
      </w:r>
      <w:proofErr w:type="gramStart"/>
      <w:r>
        <w:rPr>
          <w:rFonts w:ascii="仿宋_GB2312" w:eastAsia="仿宋_GB2312" w:hAnsi="宋体" w:hint="eastAsia"/>
          <w:sz w:val="32"/>
          <w:szCs w:val="32"/>
          <w:u w:val="single"/>
          <w:lang w:val="zh-CN"/>
        </w:rPr>
        <w:t>个</w:t>
      </w:r>
      <w:proofErr w:type="gramEnd"/>
      <w:r>
        <w:rPr>
          <w:rFonts w:ascii="仿宋_GB2312" w:eastAsia="仿宋_GB2312" w:hAnsi="宋体" w:hint="eastAsia"/>
          <w:sz w:val="32"/>
          <w:szCs w:val="32"/>
          <w:u w:val="single"/>
          <w:lang w:val="zh-CN"/>
        </w:rPr>
        <w:t>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w:t>
      </w:r>
      <w:proofErr w:type="gramStart"/>
      <w:r>
        <w:rPr>
          <w:rFonts w:ascii="仿宋_GB2312" w:eastAsia="仿宋_GB2312" w:hAnsi="宋体" w:hint="eastAsia"/>
          <w:bCs/>
          <w:kern w:val="0"/>
          <w:sz w:val="32"/>
          <w:szCs w:val="32"/>
          <w:lang w:val="zh-CN"/>
        </w:rPr>
        <w:t>日间不</w:t>
      </w:r>
      <w:proofErr w:type="gramEnd"/>
      <w:r>
        <w:rPr>
          <w:rFonts w:ascii="仿宋_GB2312" w:eastAsia="仿宋_GB2312" w:hAnsi="宋体" w:hint="eastAsia"/>
          <w:bCs/>
          <w:kern w:val="0"/>
          <w:sz w:val="32"/>
          <w:szCs w:val="32"/>
          <w:lang w:val="zh-CN"/>
        </w:rPr>
        <w:t>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w:t>
      </w:r>
      <w:proofErr w:type="gramStart"/>
      <w:r>
        <w:rPr>
          <w:rFonts w:ascii="仿宋_GB2312" w:eastAsia="仿宋_GB2312" w:hAnsi="宋体" w:hint="eastAsia"/>
          <w:color w:val="FF0000"/>
          <w:sz w:val="32"/>
          <w:szCs w:val="32"/>
        </w:rPr>
        <w:t>的</w:t>
      </w:r>
      <w:proofErr w:type="gramEnd"/>
      <w:r>
        <w:rPr>
          <w:rFonts w:ascii="仿宋_GB2312" w:eastAsia="仿宋_GB2312" w:hAnsi="宋体" w:hint="eastAsia"/>
          <w:color w:val="FF0000"/>
          <w:sz w:val="32"/>
          <w:szCs w:val="32"/>
        </w:rPr>
        <w:t>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135E18">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w:t>
      </w:r>
      <w:proofErr w:type="gramStart"/>
      <w:r>
        <w:rPr>
          <w:rFonts w:ascii="仿宋_GB2312" w:eastAsia="仿宋_GB2312" w:hAnsi="宋体" w:hint="eastAsia"/>
          <w:bCs/>
          <w:kern w:val="0"/>
          <w:sz w:val="32"/>
          <w:szCs w:val="32"/>
          <w:lang w:val="zh-CN"/>
        </w:rPr>
        <w:t>一</w:t>
      </w:r>
      <w:proofErr w:type="gramEnd"/>
      <w:r>
        <w:rPr>
          <w:rFonts w:ascii="仿宋_GB2312" w:eastAsia="仿宋_GB2312" w:hAnsi="宋体" w:hint="eastAsia"/>
          <w:bCs/>
          <w:kern w:val="0"/>
          <w:sz w:val="32"/>
          <w:szCs w:val="32"/>
          <w:lang w:val="zh-CN"/>
        </w:rPr>
        <w:t>方式披露信息：紫金农商银行官方网站（www.zj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135E18">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w:t>
      </w:r>
      <w:proofErr w:type="gramStart"/>
      <w:r>
        <w:rPr>
          <w:rFonts w:ascii="仿宋_GB2312" w:eastAsia="仿宋_GB2312" w:hAnsi="宋体" w:hint="eastAsia"/>
          <w:bCs/>
          <w:kern w:val="0"/>
          <w:sz w:val="32"/>
          <w:szCs w:val="32"/>
          <w:lang w:val="zh-CN"/>
        </w:rPr>
        <w:t>收客户</w:t>
      </w:r>
      <w:proofErr w:type="gramEnd"/>
      <w:r>
        <w:rPr>
          <w:rFonts w:ascii="仿宋_GB2312" w:eastAsia="仿宋_GB2312" w:hAnsi="宋体" w:hint="eastAsia"/>
          <w:bCs/>
          <w:kern w:val="0"/>
          <w:sz w:val="32"/>
          <w:szCs w:val="32"/>
          <w:lang w:val="zh-CN"/>
        </w:rPr>
        <w:t>的存款本金。</w:t>
      </w:r>
    </w:p>
    <w:p w:rsidR="001B27D4" w:rsidRDefault="00A62074" w:rsidP="00135E18">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A74" w:rsidRDefault="00CC2A74" w:rsidP="001B27D4">
      <w:r>
        <w:separator/>
      </w:r>
    </w:p>
  </w:endnote>
  <w:endnote w:type="continuationSeparator" w:id="1">
    <w:p w:rsidR="00CC2A74" w:rsidRDefault="00CC2A74"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103B15">
        <w:pPr>
          <w:pStyle w:val="a3"/>
          <w:jc w:val="center"/>
        </w:pPr>
        <w:r w:rsidRPr="00103B15">
          <w:fldChar w:fldCharType="begin"/>
        </w:r>
        <w:r w:rsidR="00A62074">
          <w:instrText xml:space="preserve"> PAGE   \* MERGEFORMAT </w:instrText>
        </w:r>
        <w:r w:rsidRPr="00103B15">
          <w:fldChar w:fldCharType="separate"/>
        </w:r>
        <w:r w:rsidR="00135E18" w:rsidRPr="00135E18">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A74" w:rsidRDefault="00CC2A74" w:rsidP="001B27D4">
      <w:r>
        <w:separator/>
      </w:r>
    </w:p>
  </w:footnote>
  <w:footnote w:type="continuationSeparator" w:id="1">
    <w:p w:rsidR="00CC2A74" w:rsidRDefault="00CC2A74"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542E"/>
    <w:rsid w:val="00057244"/>
    <w:rsid w:val="00061B40"/>
    <w:rsid w:val="00061D48"/>
    <w:rsid w:val="00061F5D"/>
    <w:rsid w:val="000625BA"/>
    <w:rsid w:val="00065DA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3B15"/>
    <w:rsid w:val="00105E6A"/>
    <w:rsid w:val="001075C7"/>
    <w:rsid w:val="0011096F"/>
    <w:rsid w:val="00113282"/>
    <w:rsid w:val="00116BF8"/>
    <w:rsid w:val="00116DD8"/>
    <w:rsid w:val="00121891"/>
    <w:rsid w:val="00125F6B"/>
    <w:rsid w:val="00130975"/>
    <w:rsid w:val="00135E18"/>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C39EC"/>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238D"/>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29AF"/>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3F16BE"/>
    <w:rsid w:val="00400902"/>
    <w:rsid w:val="00402498"/>
    <w:rsid w:val="0040370F"/>
    <w:rsid w:val="00412343"/>
    <w:rsid w:val="00415760"/>
    <w:rsid w:val="00416639"/>
    <w:rsid w:val="00417242"/>
    <w:rsid w:val="00422E40"/>
    <w:rsid w:val="00423B78"/>
    <w:rsid w:val="00433206"/>
    <w:rsid w:val="0043467F"/>
    <w:rsid w:val="00434D46"/>
    <w:rsid w:val="00435962"/>
    <w:rsid w:val="00441450"/>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32D"/>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C647C"/>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3EFE"/>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3506"/>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97A69"/>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2A74"/>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24309"/>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2BA6"/>
    <w:rsid w:val="00FD4B10"/>
    <w:rsid w:val="00FD62C4"/>
    <w:rsid w:val="00FD7BA2"/>
    <w:rsid w:val="00FE0952"/>
    <w:rsid w:val="00FE1885"/>
    <w:rsid w:val="00FE5ED5"/>
    <w:rsid w:val="00FF1D2C"/>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553</Words>
  <Characters>3157</Characters>
  <Application>Microsoft Office Word</Application>
  <DocSecurity>0</DocSecurity>
  <Lines>26</Lines>
  <Paragraphs>7</Paragraphs>
  <ScaleCrop>false</ScaleCrop>
  <Company>微软中国</Company>
  <LinksUpToDate>false</LinksUpToDate>
  <CharactersWithSpaces>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330</cp:revision>
  <dcterms:created xsi:type="dcterms:W3CDTF">2019-01-14T02:08:00Z</dcterms:created>
  <dcterms:modified xsi:type="dcterms:W3CDTF">2025-04-29T07:55:00Z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