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BA2" w:rsidRDefault="004E3C8B">
      <w:pPr>
        <w:jc w:val="center"/>
        <w:rPr>
          <w:rFonts w:ascii="仿宋_GB2312" w:eastAsia="仿宋_GB2312" w:hAnsi="仿宋_GB2312"/>
          <w:b/>
          <w:sz w:val="32"/>
        </w:rPr>
      </w:pPr>
      <w:r>
        <w:rPr>
          <w:rFonts w:ascii="仿宋_GB2312" w:eastAsia="仿宋_GB2312" w:hAnsi="仿宋_GB2312"/>
          <w:b/>
          <w:noProof/>
          <w:sz w:val="32"/>
        </w:rPr>
        <w:drawing>
          <wp:anchor distT="0" distB="0" distL="114300" distR="114300" simplePos="0" relativeHeight="251659264" behindDoc="0" locked="0" layoutInCell="1" allowOverlap="1">
            <wp:simplePos x="0" y="0"/>
            <wp:positionH relativeFrom="column">
              <wp:posOffset>28575</wp:posOffset>
            </wp:positionH>
            <wp:positionV relativeFrom="paragraph">
              <wp:posOffset>-228600</wp:posOffset>
            </wp:positionV>
            <wp:extent cx="2057400" cy="371475"/>
            <wp:effectExtent l="19050" t="0" r="0" b="0"/>
            <wp:wrapNone/>
            <wp:docPr id="6" name="图片 2" descr="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SH"/>
                    <pic:cNvPicPr>
                      <a:picLocks noChangeAspect="1" noChangeArrowheads="1"/>
                    </pic:cNvPicPr>
                  </pic:nvPicPr>
                  <pic:blipFill>
                    <a:blip r:embed="rId8" cstate="print"/>
                    <a:srcRect/>
                    <a:stretch>
                      <a:fillRect/>
                    </a:stretch>
                  </pic:blipFill>
                  <pic:spPr>
                    <a:xfrm>
                      <a:off x="0" y="0"/>
                      <a:ext cx="2057400" cy="371475"/>
                    </a:xfrm>
                    <a:prstGeom prst="rect">
                      <a:avLst/>
                    </a:prstGeom>
                    <a:noFill/>
                    <a:ln w="9525">
                      <a:noFill/>
                      <a:miter lim="800000"/>
                      <a:headEnd/>
                      <a:tailEnd/>
                    </a:ln>
                  </pic:spPr>
                </pic:pic>
              </a:graphicData>
            </a:graphic>
          </wp:anchor>
        </w:drawing>
      </w:r>
    </w:p>
    <w:p w:rsidR="009D6BA2" w:rsidRDefault="004E3C8B">
      <w:pPr>
        <w:jc w:val="center"/>
        <w:rPr>
          <w:rFonts w:ascii="仿宋_GB2312" w:eastAsia="仿宋_GB2312" w:hAnsi="仿宋_GB2312"/>
          <w:b/>
          <w:sz w:val="32"/>
        </w:rPr>
      </w:pPr>
      <w:r>
        <w:rPr>
          <w:rFonts w:ascii="仿宋_GB2312" w:eastAsia="仿宋_GB2312" w:hAnsi="仿宋_GB2312" w:hint="eastAsia"/>
          <w:b/>
          <w:sz w:val="32"/>
        </w:rPr>
        <w:t>重庆农</w:t>
      </w:r>
      <w:r>
        <w:rPr>
          <w:rFonts w:ascii="仿宋_GB2312" w:eastAsia="仿宋_GB2312" w:hAnsi="仿宋_GB2312"/>
          <w:b/>
          <w:sz w:val="32"/>
        </w:rPr>
        <w:t>村商业银行股份有限公司</w:t>
      </w:r>
      <w:r>
        <w:rPr>
          <w:rFonts w:ascii="仿宋_GB2312" w:eastAsia="仿宋_GB2312" w:hAnsi="仿宋_GB2312" w:hint="eastAsia"/>
          <w:b/>
          <w:sz w:val="32"/>
        </w:rPr>
        <w:t>江渝财富“天</w:t>
      </w:r>
      <w:r>
        <w:rPr>
          <w:rFonts w:ascii="仿宋_GB2312" w:eastAsia="仿宋_GB2312" w:hAnsi="仿宋_GB2312"/>
          <w:b/>
          <w:sz w:val="32"/>
        </w:rPr>
        <w:t>添金</w:t>
      </w:r>
      <w:r>
        <w:rPr>
          <w:rFonts w:ascii="仿宋_GB2312" w:eastAsia="仿宋_GB2312" w:hAnsi="仿宋_GB2312"/>
          <w:b/>
          <w:sz w:val="32"/>
        </w:rPr>
        <w:t>”</w:t>
      </w:r>
    </w:p>
    <w:p w:rsidR="009D6BA2" w:rsidRDefault="004E3C8B">
      <w:pPr>
        <w:jc w:val="center"/>
        <w:rPr>
          <w:rFonts w:ascii="仿宋_GB2312" w:eastAsia="仿宋_GB2312" w:hAnsi="仿宋_GB2312"/>
        </w:rPr>
      </w:pPr>
      <w:r>
        <w:rPr>
          <w:rFonts w:ascii="仿宋_GB2312" w:eastAsia="仿宋_GB2312" w:hAnsi="仿宋_GB2312" w:hint="eastAsia"/>
          <w:b/>
          <w:sz w:val="32"/>
        </w:rPr>
        <w:t>理财</w:t>
      </w:r>
      <w:r>
        <w:rPr>
          <w:rFonts w:ascii="仿宋_GB2312" w:eastAsia="仿宋_GB2312" w:hAnsi="仿宋_GB2312" w:hint="eastAsia"/>
          <w:b/>
          <w:color w:val="000000"/>
          <w:sz w:val="32"/>
        </w:rPr>
        <w:t>产品</w:t>
      </w:r>
      <w:r>
        <w:rPr>
          <w:rFonts w:ascii="仿宋_GB2312" w:eastAsia="仿宋_GB2312" w:hAnsi="仿宋_GB2312" w:hint="eastAsia"/>
          <w:b/>
          <w:sz w:val="32"/>
        </w:rPr>
        <w:t>协议书（电子渠道）</w:t>
      </w:r>
    </w:p>
    <w:p w:rsidR="009D6BA2" w:rsidRDefault="009D6BA2">
      <w:pPr>
        <w:adjustRightInd w:val="0"/>
        <w:snapToGrid w:val="0"/>
        <w:textAlignment w:val="baseline"/>
        <w:rPr>
          <w:rFonts w:ascii="仿宋_GB2312" w:eastAsia="仿宋_GB2312" w:hAnsi="仿宋_GB2312"/>
          <w:color w:val="000000"/>
          <w:sz w:val="18"/>
        </w:rPr>
      </w:pPr>
    </w:p>
    <w:p w:rsidR="009D6BA2" w:rsidRDefault="009D6BA2">
      <w:pPr>
        <w:autoSpaceDE w:val="0"/>
        <w:autoSpaceDN w:val="0"/>
        <w:adjustRightInd w:val="0"/>
        <w:ind w:firstLineChars="200" w:firstLine="360"/>
        <w:jc w:val="left"/>
        <w:rPr>
          <w:rFonts w:ascii="仿宋_GB2312" w:eastAsia="仿宋_GB2312" w:hAnsi="仿宋_GB2312"/>
          <w:sz w:val="18"/>
        </w:rPr>
      </w:pPr>
    </w:p>
    <w:p w:rsidR="009D6BA2" w:rsidRDefault="004E3C8B">
      <w:pPr>
        <w:adjustRightInd w:val="0"/>
        <w:snapToGrid w:val="0"/>
        <w:textAlignment w:val="baseline"/>
        <w:rPr>
          <w:rFonts w:ascii="仿宋_GB2312" w:eastAsia="仿宋_GB2312" w:hAnsi="仿宋_GB2312"/>
          <w:color w:val="000000"/>
          <w:sz w:val="18"/>
        </w:rPr>
      </w:pPr>
      <w:r>
        <w:rPr>
          <w:rFonts w:ascii="仿宋_GB2312" w:eastAsia="仿宋_GB2312" w:hAnsi="仿宋_GB2312" w:hint="eastAsia"/>
          <w:sz w:val="18"/>
        </w:rPr>
        <w:t xml:space="preserve">    </w:t>
      </w:r>
      <w:r>
        <w:rPr>
          <w:rFonts w:ascii="仿宋_GB2312" w:eastAsia="仿宋_GB2312" w:hAnsi="仿宋_GB2312" w:hint="eastAsia"/>
          <w:sz w:val="18"/>
        </w:rPr>
        <w:t>甲方（客户）、乙方（重庆农村商业银行股份有限公司）根据《中华人民共和国合同法》等法律法规，在平等自愿基础上，经协商一致，就甲方购买代销银行（</w:t>
      </w:r>
      <w:bookmarkStart w:id="0" w:name="_GoBack"/>
      <w:r>
        <w:rPr>
          <w:rFonts w:ascii="仿宋_GB2312" w:eastAsia="仿宋_GB2312" w:hAnsi="仿宋_GB2312" w:hint="eastAsia"/>
          <w:sz w:val="18"/>
          <w:szCs w:val="22"/>
        </w:rPr>
        <w:t>江苏泗阳农村商业银行</w:t>
      </w:r>
      <w:r>
        <w:rPr>
          <w:rFonts w:ascii="仿宋_GB2312" w:eastAsia="仿宋_GB2312" w:hAnsi="仿宋_GB2312"/>
          <w:sz w:val="18"/>
          <w:szCs w:val="22"/>
        </w:rPr>
        <w:t>股份有限公司</w:t>
      </w:r>
      <w:bookmarkEnd w:id="0"/>
      <w:r>
        <w:rPr>
          <w:rFonts w:ascii="仿宋_GB2312" w:eastAsia="仿宋_GB2312" w:hAnsi="仿宋_GB2312"/>
          <w:sz w:val="18"/>
        </w:rPr>
        <w:t>）</w:t>
      </w:r>
      <w:r>
        <w:rPr>
          <w:rFonts w:ascii="仿宋_GB2312" w:eastAsia="仿宋_GB2312" w:hAnsi="仿宋_GB2312" w:hint="eastAsia"/>
          <w:sz w:val="18"/>
        </w:rPr>
        <w:t>代为销售的重庆农村商业银行股份有限公司江渝财富“天添金”理财产品，达成本协议如下：</w:t>
      </w:r>
    </w:p>
    <w:p w:rsidR="009D6BA2" w:rsidRDefault="004E3C8B">
      <w:pPr>
        <w:textAlignment w:val="baseline"/>
        <w:rPr>
          <w:rFonts w:ascii="仿宋_GB2312" w:eastAsia="仿宋_GB2312" w:hAnsi="仿宋_GB2312"/>
          <w:b/>
          <w:sz w:val="18"/>
        </w:rPr>
      </w:pPr>
      <w:r>
        <w:rPr>
          <w:rFonts w:ascii="仿宋_GB2312" w:eastAsia="仿宋_GB2312" w:hAnsi="仿宋_GB2312" w:hint="eastAsia"/>
          <w:b/>
          <w:sz w:val="18"/>
        </w:rPr>
        <w:t xml:space="preserve">    </w:t>
      </w:r>
      <w:r>
        <w:rPr>
          <w:rFonts w:ascii="仿宋_GB2312" w:eastAsia="仿宋_GB2312" w:hAnsi="仿宋_GB2312" w:hint="eastAsia"/>
          <w:b/>
          <w:sz w:val="18"/>
        </w:rPr>
        <w:t>第一条</w:t>
      </w:r>
      <w:r>
        <w:rPr>
          <w:rFonts w:ascii="仿宋_GB2312" w:eastAsia="仿宋_GB2312" w:hAnsi="仿宋_GB2312" w:hint="eastAsia"/>
          <w:b/>
          <w:sz w:val="18"/>
        </w:rPr>
        <w:t xml:space="preserve"> </w:t>
      </w:r>
      <w:r>
        <w:rPr>
          <w:rFonts w:ascii="仿宋_GB2312" w:eastAsia="仿宋_GB2312" w:hAnsi="仿宋_GB2312" w:hint="eastAsia"/>
          <w:b/>
          <w:sz w:val="18"/>
        </w:rPr>
        <w:t>产品释义</w:t>
      </w:r>
    </w:p>
    <w:p w:rsidR="009D6BA2" w:rsidRDefault="004E3C8B">
      <w:pPr>
        <w:ind w:firstLineChars="200" w:firstLine="360"/>
        <w:textAlignment w:val="baseline"/>
        <w:rPr>
          <w:rFonts w:ascii="仿宋_GB2312" w:eastAsia="仿宋_GB2312" w:hAnsi="仿宋_GB2312"/>
          <w:sz w:val="18"/>
        </w:rPr>
      </w:pPr>
      <w:r>
        <w:rPr>
          <w:rFonts w:ascii="仿宋_GB2312" w:eastAsia="仿宋_GB2312" w:hAnsi="仿宋_GB2312" w:hint="eastAsia"/>
          <w:sz w:val="18"/>
        </w:rPr>
        <w:t>本协议项下的江渝财富“天添</w:t>
      </w:r>
      <w:r>
        <w:rPr>
          <w:rFonts w:ascii="仿宋_GB2312" w:eastAsia="仿宋_GB2312" w:hAnsi="仿宋_GB2312"/>
          <w:sz w:val="18"/>
        </w:rPr>
        <w:t>金</w:t>
      </w:r>
      <w:r>
        <w:rPr>
          <w:rFonts w:ascii="仿宋_GB2312" w:eastAsia="仿宋_GB2312" w:hAnsi="仿宋_GB2312" w:hint="eastAsia"/>
          <w:sz w:val="18"/>
        </w:rPr>
        <w:t>”理财产品，是指乙方接受甲方的理财申请，将其人民币理财资金按照约定的投资计划和方式进行投资和管理的理财产品。</w:t>
      </w:r>
    </w:p>
    <w:p w:rsidR="009D6BA2" w:rsidRDefault="004E3C8B">
      <w:pPr>
        <w:widowControl/>
        <w:snapToGrid w:val="0"/>
        <w:ind w:firstLineChars="150" w:firstLine="271"/>
        <w:jc w:val="left"/>
        <w:textAlignment w:val="baseline"/>
        <w:rPr>
          <w:rFonts w:ascii="仿宋_GB2312" w:eastAsia="仿宋_GB2312" w:hAnsi="仿宋_GB2312"/>
          <w:b/>
          <w:sz w:val="18"/>
        </w:rPr>
      </w:pPr>
      <w:r>
        <w:rPr>
          <w:rFonts w:ascii="仿宋_GB2312" w:eastAsia="仿宋_GB2312" w:hAnsi="仿宋_GB2312" w:hint="eastAsia"/>
          <w:b/>
          <w:sz w:val="18"/>
        </w:rPr>
        <w:t>第二条</w:t>
      </w:r>
      <w:r>
        <w:rPr>
          <w:rFonts w:ascii="仿宋_GB2312" w:eastAsia="仿宋_GB2312" w:hAnsi="仿宋_GB2312" w:hint="eastAsia"/>
          <w:b/>
          <w:sz w:val="18"/>
        </w:rPr>
        <w:t xml:space="preserve"> </w:t>
      </w:r>
      <w:r>
        <w:rPr>
          <w:rFonts w:ascii="仿宋_GB2312" w:eastAsia="仿宋_GB2312" w:hAnsi="仿宋_GB2312" w:hint="eastAsia"/>
          <w:b/>
          <w:sz w:val="18"/>
        </w:rPr>
        <w:t>委托代理关系</w:t>
      </w:r>
    </w:p>
    <w:p w:rsidR="009D6BA2" w:rsidRDefault="004E3C8B">
      <w:pPr>
        <w:pStyle w:val="3"/>
        <w:ind w:firstLine="0"/>
        <w:textAlignment w:val="baseline"/>
        <w:rPr>
          <w:rFonts w:ascii="仿宋_GB2312" w:eastAsia="仿宋_GB2312" w:hAnsi="仿宋_GB2312"/>
          <w:sz w:val="18"/>
        </w:rPr>
      </w:pPr>
      <w:r>
        <w:rPr>
          <w:rFonts w:ascii="仿宋_GB2312" w:eastAsia="仿宋_GB2312" w:hAnsi="仿宋_GB2312" w:hint="eastAsia"/>
          <w:sz w:val="18"/>
        </w:rPr>
        <w:t xml:space="preserve">   </w:t>
      </w:r>
      <w:r>
        <w:rPr>
          <w:rFonts w:ascii="仿宋_GB2312" w:eastAsia="仿宋_GB2312" w:hAnsi="仿宋_GB2312" w:hint="eastAsia"/>
          <w:sz w:val="18"/>
        </w:rPr>
        <w:t>甲方签署本协议即视同指定乙方为代理人代其进行理财资金的投资运作，甲方清楚知悉甲乙双方为委托代理关系，已认真阅读本产品协议有关条款，明确本理财计划为委托代理性质，愿意承担投资风险，对有关条款不存在任何疑问或异议，并对协议双方的权利、义务、责任与风险有清楚和准确的理解，甲方做出的任何决策均出于自身独立的判断，是其真实的意思表示。</w:t>
      </w:r>
    </w:p>
    <w:p w:rsidR="009D6BA2" w:rsidRDefault="004E3C8B">
      <w:pPr>
        <w:textAlignment w:val="baseline"/>
        <w:rPr>
          <w:rFonts w:ascii="仿宋_GB2312" w:eastAsia="仿宋_GB2312" w:hAnsi="仿宋_GB2312"/>
          <w:b/>
          <w:sz w:val="18"/>
        </w:rPr>
      </w:pPr>
      <w:r>
        <w:rPr>
          <w:rFonts w:ascii="仿宋_GB2312" w:eastAsia="仿宋_GB2312" w:hAnsi="仿宋_GB2312" w:hint="eastAsia"/>
          <w:b/>
          <w:sz w:val="18"/>
        </w:rPr>
        <w:t xml:space="preserve">   </w:t>
      </w:r>
      <w:r>
        <w:rPr>
          <w:rFonts w:ascii="仿宋_GB2312" w:eastAsia="仿宋_GB2312" w:hAnsi="仿宋_GB2312" w:hint="eastAsia"/>
          <w:b/>
          <w:sz w:val="18"/>
        </w:rPr>
        <w:t>第三条</w:t>
      </w:r>
      <w:r>
        <w:rPr>
          <w:rFonts w:ascii="仿宋_GB2312" w:eastAsia="仿宋_GB2312" w:hAnsi="仿宋_GB2312" w:hint="eastAsia"/>
          <w:b/>
          <w:sz w:val="18"/>
        </w:rPr>
        <w:t xml:space="preserve"> </w:t>
      </w:r>
      <w:r>
        <w:rPr>
          <w:rFonts w:ascii="仿宋_GB2312" w:eastAsia="仿宋_GB2312" w:hAnsi="仿宋_GB2312" w:hint="eastAsia"/>
          <w:b/>
          <w:sz w:val="18"/>
        </w:rPr>
        <w:t>各方的权利和义务</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1</w:t>
      </w:r>
      <w:r>
        <w:rPr>
          <w:rFonts w:ascii="仿宋_GB2312" w:eastAsia="仿宋_GB2312" w:hAnsi="仿宋_GB2312" w:hint="eastAsia"/>
          <w:sz w:val="18"/>
        </w:rPr>
        <w:t>、甲方自愿以本协议所约定的理财本金金额购买本理财产品，保证理财本金是其自有或其有权处分的合法资金且非</w:t>
      </w:r>
      <w:r>
        <w:rPr>
          <w:rFonts w:ascii="仿宋_GB2312" w:eastAsia="仿宋_GB2312" w:hAnsi="仿宋_GB2312"/>
          <w:sz w:val="18"/>
        </w:rPr>
        <w:t>来源于</w:t>
      </w:r>
      <w:r>
        <w:rPr>
          <w:rFonts w:ascii="仿宋_GB2312" w:eastAsia="仿宋_GB2312" w:hAnsi="仿宋_GB2312" w:hint="eastAsia"/>
          <w:sz w:val="18"/>
        </w:rPr>
        <w:t>贷款、债券发行等方式</w:t>
      </w:r>
      <w:r>
        <w:rPr>
          <w:rFonts w:ascii="仿宋_GB2312" w:eastAsia="仿宋_GB2312" w:hAnsi="仿宋_GB2312"/>
          <w:sz w:val="18"/>
        </w:rPr>
        <w:t>筹集的资金</w:t>
      </w:r>
      <w:r>
        <w:rPr>
          <w:rFonts w:ascii="仿宋_GB2312" w:eastAsia="仿宋_GB2312" w:hAnsi="仿宋_GB2312" w:hint="eastAsia"/>
          <w:sz w:val="18"/>
        </w:rPr>
        <w:t>，同时将该资金用作理财合同下交易以及订立和履行本协议并不违反任何法律、法规、</w:t>
      </w:r>
      <w:r>
        <w:rPr>
          <w:rFonts w:ascii="仿宋_GB2312" w:eastAsia="仿宋_GB2312" w:hAnsi="仿宋_GB2312"/>
          <w:sz w:val="18"/>
        </w:rPr>
        <w:t>监管要求或公司章程的规定</w:t>
      </w:r>
      <w:r>
        <w:rPr>
          <w:rFonts w:ascii="仿宋_GB2312" w:eastAsia="仿宋_GB2312" w:hAnsi="仿宋_GB2312" w:hint="eastAsia"/>
          <w:sz w:val="18"/>
        </w:rPr>
        <w:t>，</w:t>
      </w:r>
      <w:r>
        <w:rPr>
          <w:rFonts w:ascii="仿宋_GB2312" w:eastAsia="仿宋_GB2312" w:hAnsi="仿宋_GB2312"/>
          <w:sz w:val="18"/>
        </w:rPr>
        <w:t>并已</w:t>
      </w:r>
      <w:r>
        <w:rPr>
          <w:rFonts w:ascii="仿宋_GB2312" w:eastAsia="仿宋_GB2312" w:hAnsi="仿宋_GB2312" w:hint="eastAsia"/>
          <w:sz w:val="18"/>
        </w:rPr>
        <w:t>获得</w:t>
      </w:r>
      <w:r>
        <w:rPr>
          <w:rFonts w:ascii="仿宋_GB2312" w:eastAsia="仿宋_GB2312" w:hAnsi="仿宋_GB2312"/>
          <w:sz w:val="18"/>
        </w:rPr>
        <w:t>必须的批准手续</w:t>
      </w:r>
      <w:r>
        <w:rPr>
          <w:rFonts w:ascii="仿宋_GB2312" w:eastAsia="仿宋_GB2312" w:hAnsi="仿宋_GB2312" w:hint="eastAsia"/>
          <w:sz w:val="18"/>
        </w:rPr>
        <w:t>，且不违反任何约束或影响甲方或其资产的合同、协议或承诺。</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2</w:t>
      </w:r>
      <w:r>
        <w:rPr>
          <w:rFonts w:ascii="仿宋_GB2312" w:eastAsia="仿宋_GB2312" w:hAnsi="仿宋_GB2312" w:hint="eastAsia"/>
          <w:sz w:val="18"/>
        </w:rPr>
        <w:t>、甲方应保证其资金为合法拥有的资金。甲方按其购买的资金在本产品协议中享有相应的权利，并承担相应的义务，同时，配合乙方履行监管机构的反洗钱工作要求。</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3</w:t>
      </w:r>
      <w:r>
        <w:rPr>
          <w:rFonts w:ascii="仿宋_GB2312" w:eastAsia="仿宋_GB2312" w:hAnsi="仿宋_GB2312" w:hint="eastAsia"/>
          <w:sz w:val="18"/>
        </w:rPr>
        <w:t>、甲方应在代销银行开立个人结算账户</w:t>
      </w:r>
      <w:r>
        <w:rPr>
          <w:rFonts w:ascii="仿宋_GB2312" w:eastAsia="仿宋_GB2312" w:hAnsi="仿宋_GB2312" w:hint="eastAsia"/>
          <w:sz w:val="18"/>
        </w:rPr>
        <w:t>(</w:t>
      </w:r>
      <w:r>
        <w:rPr>
          <w:rFonts w:ascii="仿宋_GB2312" w:eastAsia="仿宋_GB2312" w:hAnsi="仿宋_GB2312" w:hint="eastAsia"/>
          <w:sz w:val="18"/>
        </w:rPr>
        <w:t>简称</w:t>
      </w:r>
      <w:r>
        <w:rPr>
          <w:rFonts w:ascii="仿宋_GB2312" w:eastAsia="仿宋_GB2312" w:hAnsi="仿宋_GB2312" w:hint="eastAsia"/>
          <w:sz w:val="18"/>
        </w:rPr>
        <w:t>“指定账户”</w:t>
      </w:r>
      <w:r>
        <w:rPr>
          <w:rFonts w:ascii="仿宋_GB2312" w:eastAsia="仿宋_GB2312" w:hAnsi="仿宋_GB2312" w:hint="eastAsia"/>
          <w:sz w:val="18"/>
        </w:rPr>
        <w:t>)</w:t>
      </w:r>
      <w:r>
        <w:rPr>
          <w:rFonts w:ascii="仿宋_GB2312" w:eastAsia="仿宋_GB2312" w:hAnsi="仿宋_GB2312" w:hint="eastAsia"/>
          <w:sz w:val="18"/>
        </w:rPr>
        <w:t>，用于本理财产品的资金划转及其收益返还。</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4</w:t>
      </w:r>
      <w:r>
        <w:rPr>
          <w:rFonts w:ascii="仿宋_GB2312" w:eastAsia="仿宋_GB2312" w:hAnsi="仿宋_GB2312" w:hint="eastAsia"/>
          <w:sz w:val="18"/>
        </w:rPr>
        <w:t>、甲方授权代销银行，将本协议约定的甲方委托资金在理财产品扣划日扣划并进行汇集，同意代销银行于理财产品扣划日当日将甲方指定账户内相应的理财资金划转至乙方理财账户。乙方或代销银行在划款时，无须再以电话或其他任何方式与甲方进行确认。甲方在募集期内认购本理财产品的，甲方同意代销银行冻结甲方指定账户内的认购资金；认购资金冻结期间，代销银行按活期储蓄利率计付利息，该利息不计入理财本金。认购资金自划转之日起至返回甲方账户期间不计付活期储蓄利息。</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5</w:t>
      </w:r>
      <w:r>
        <w:rPr>
          <w:rFonts w:ascii="仿宋_GB2312" w:eastAsia="仿宋_GB2312" w:hAnsi="仿宋_GB2312" w:hint="eastAsia"/>
          <w:sz w:val="18"/>
        </w:rPr>
        <w:t>、甲方承诺所提供</w:t>
      </w:r>
      <w:r>
        <w:rPr>
          <w:rFonts w:ascii="仿宋_GB2312" w:eastAsia="仿宋_GB2312" w:hAnsi="仿宋_GB2312" w:hint="eastAsia"/>
          <w:sz w:val="18"/>
        </w:rPr>
        <w:t>给乙方及在本协议中填写的所有资料真实、准确、有效，如有变更，甲方应及时到原经办机构办理变更手续。因甲方未及时办理相关变更手续所造成的损失，乙方不承担责任。本协议履行过程中乙方需联系甲方时，乙方按照本协议中约定的联系方式联系甲方。</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6</w:t>
      </w:r>
      <w:r>
        <w:rPr>
          <w:rFonts w:ascii="仿宋_GB2312" w:eastAsia="仿宋_GB2312" w:hAnsi="仿宋_GB2312" w:hint="eastAsia"/>
          <w:sz w:val="18"/>
        </w:rPr>
        <w:t>、甲方在代销银行网点购买乙方委托代销银行代理销售的理财产品时，须携带本人有效身份证原件并提供在代销银行开立的相应账户，具体以本协议对应的《产品说明书》为准；甲方在代销银行电子渠道（包括但不限于网上银行、手机银行等）购买乙方发行的理财产品时，本协议由甲方在系统提示界面执行确认后生效</w:t>
      </w:r>
      <w:r>
        <w:rPr>
          <w:rFonts w:ascii="仿宋_GB2312" w:eastAsia="仿宋_GB2312" w:hAnsi="仿宋_GB2312" w:hint="eastAsia"/>
          <w:sz w:val="18"/>
        </w:rPr>
        <w:t>。</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7</w:t>
      </w:r>
      <w:r>
        <w:rPr>
          <w:rFonts w:ascii="仿宋_GB2312" w:eastAsia="仿宋_GB2312" w:hAnsi="仿宋_GB2312" w:hint="eastAsia"/>
          <w:sz w:val="18"/>
        </w:rPr>
        <w:t>、如因甲方指定账户资金余额不足、司法或其他有权机关采取强制措施等甲方原因导致投资本金不能从指定账户中足额划转的，本协议自动终止，甲方无权收取本协议项下的任何收益，乙方不承担任何责任。</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8</w:t>
      </w:r>
      <w:r>
        <w:rPr>
          <w:rFonts w:ascii="仿宋_GB2312" w:eastAsia="仿宋_GB2312" w:hAnsi="仿宋_GB2312" w:hint="eastAsia"/>
          <w:sz w:val="18"/>
        </w:rPr>
        <w:t>、甲方承诺在该产品到期日前，除非按照产品说明书及风险揭示书约定甲方可以行使提前终止权的，否则不得要求乙方提前退还被扣划投资本金，且不得将指定账户销户。乙方应在国家有关法律、法规、政策允许的范围内按照甲方认购理财产品时的授权进行投资运作，乙方本着勤勉尽职的原则，从有利于甲方</w:t>
      </w:r>
      <w:r>
        <w:rPr>
          <w:rFonts w:ascii="仿宋_GB2312" w:eastAsia="仿宋_GB2312" w:hAnsi="仿宋_GB2312" w:hint="eastAsia"/>
          <w:sz w:val="18"/>
        </w:rPr>
        <w:lastRenderedPageBreak/>
        <w:t>利益角度出发，可对投资标的进行必要的置换、调配。</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9</w:t>
      </w:r>
      <w:r>
        <w:rPr>
          <w:rFonts w:ascii="仿宋_GB2312" w:eastAsia="仿宋_GB2312" w:hAnsi="仿宋_GB2312" w:hint="eastAsia"/>
          <w:sz w:val="18"/>
        </w:rPr>
        <w:t>、甲方授权乙方或代销银行在支付日将依约定须支付的理财资金划入指定账户中。因指定账户冻结、挂失、换卡、销户、长期不动户等原因造成理财交易卡账户变更或异常，甲方应及时到代销银行办理变更手续，如因甲方未及时办理变更手续而造成投资本金及收益无法入账，甲方应承担全部责任。</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10</w:t>
      </w:r>
      <w:r>
        <w:rPr>
          <w:rFonts w:ascii="仿宋_GB2312" w:eastAsia="仿宋_GB2312" w:hAnsi="仿宋_GB2312" w:hint="eastAsia"/>
          <w:sz w:val="18"/>
        </w:rPr>
        <w:t>、</w:t>
      </w:r>
      <w:r>
        <w:rPr>
          <w:rFonts w:ascii="仿宋_GB2312" w:eastAsia="仿宋_GB2312" w:hAnsi="仿宋_GB2312" w:hint="eastAsia"/>
          <w:b/>
          <w:sz w:val="18"/>
        </w:rPr>
        <w:t>乙方有权向甲方收取一定的理财产品费用，具体收费方式和标准在产品说明书中载明。</w:t>
      </w:r>
    </w:p>
    <w:p w:rsidR="009D6BA2" w:rsidRDefault="004E3C8B">
      <w:pPr>
        <w:ind w:firstLine="420"/>
        <w:textAlignment w:val="baseline"/>
        <w:rPr>
          <w:rFonts w:ascii="仿宋_GB2312" w:eastAsia="仿宋_GB2312" w:hAnsi="仿宋_GB2312"/>
          <w:b/>
          <w:sz w:val="18"/>
        </w:rPr>
      </w:pPr>
      <w:r>
        <w:rPr>
          <w:rFonts w:ascii="仿宋_GB2312" w:eastAsia="仿宋_GB2312" w:hAnsi="仿宋_GB2312" w:hint="eastAsia"/>
          <w:sz w:val="18"/>
        </w:rPr>
        <w:t>11</w:t>
      </w:r>
      <w:r>
        <w:rPr>
          <w:rFonts w:ascii="仿宋_GB2312" w:eastAsia="仿宋_GB2312" w:hAnsi="仿宋_GB2312" w:hint="eastAsia"/>
          <w:sz w:val="18"/>
        </w:rPr>
        <w:t>、鉴于市场风险、产品募集资金数额未达到产品成立最低募集规模等原因，</w:t>
      </w:r>
      <w:r>
        <w:rPr>
          <w:rFonts w:ascii="仿宋_GB2312" w:eastAsia="仿宋_GB2312" w:hAnsi="仿宋_GB2312" w:hint="eastAsia"/>
          <w:b/>
          <w:sz w:val="18"/>
        </w:rPr>
        <w:t>乙方有权通过重庆农</w:t>
      </w:r>
      <w:r>
        <w:rPr>
          <w:rFonts w:ascii="仿宋_GB2312" w:eastAsia="仿宋_GB2312" w:hAnsi="仿宋_GB2312"/>
          <w:b/>
          <w:sz w:val="18"/>
        </w:rPr>
        <w:t>村商业</w:t>
      </w:r>
      <w:r>
        <w:rPr>
          <w:rFonts w:ascii="仿宋_GB2312" w:eastAsia="仿宋_GB2312" w:hAnsi="仿宋_GB2312" w:hint="eastAsia"/>
          <w:b/>
          <w:sz w:val="18"/>
        </w:rPr>
        <w:t>银行股份</w:t>
      </w:r>
      <w:r>
        <w:rPr>
          <w:rFonts w:ascii="仿宋_GB2312" w:eastAsia="仿宋_GB2312" w:hAnsi="仿宋_GB2312"/>
          <w:b/>
          <w:sz w:val="18"/>
        </w:rPr>
        <w:t>有限公司</w:t>
      </w:r>
      <w:r>
        <w:rPr>
          <w:rFonts w:ascii="仿宋_GB2312" w:eastAsia="仿宋_GB2312" w:hAnsi="仿宋_GB2312" w:hint="eastAsia"/>
          <w:b/>
          <w:sz w:val="18"/>
        </w:rPr>
        <w:t>网站或代销</w:t>
      </w:r>
      <w:r>
        <w:rPr>
          <w:rFonts w:ascii="仿宋_GB2312" w:eastAsia="仿宋_GB2312" w:hAnsi="仿宋_GB2312"/>
          <w:b/>
          <w:sz w:val="18"/>
        </w:rPr>
        <w:t>银行</w:t>
      </w:r>
      <w:r>
        <w:rPr>
          <w:rFonts w:ascii="仿宋_GB2312" w:eastAsia="仿宋_GB2312" w:hAnsi="仿宋_GB2312" w:hint="eastAsia"/>
          <w:b/>
          <w:sz w:val="18"/>
        </w:rPr>
        <w:t>营业网点公告的形式宣布该期产品募集不成功，无须另行通知甲方，且将投资本金返还甲方。</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12</w:t>
      </w:r>
      <w:r>
        <w:rPr>
          <w:rFonts w:ascii="仿宋_GB2312" w:eastAsia="仿宋_GB2312" w:hAnsi="仿宋_GB2312" w:hint="eastAsia"/>
          <w:sz w:val="18"/>
        </w:rPr>
        <w:t>、甲方</w:t>
      </w:r>
      <w:r>
        <w:rPr>
          <w:rFonts w:ascii="仿宋_GB2312" w:eastAsia="仿宋_GB2312" w:hAnsi="仿宋_GB2312"/>
          <w:sz w:val="18"/>
        </w:rPr>
        <w:t>签订理财产品协议时，</w:t>
      </w:r>
      <w:r>
        <w:rPr>
          <w:rFonts w:ascii="仿宋_GB2312" w:eastAsia="仿宋_GB2312" w:hAnsi="仿宋_GB2312" w:hint="eastAsia"/>
          <w:sz w:val="18"/>
        </w:rPr>
        <w:t>乙方</w:t>
      </w:r>
      <w:r>
        <w:rPr>
          <w:rFonts w:ascii="仿宋_GB2312" w:eastAsia="仿宋_GB2312" w:hAnsi="仿宋_GB2312"/>
          <w:sz w:val="18"/>
        </w:rPr>
        <w:t>仅获取客户授权的个人金融信息，同时</w:t>
      </w:r>
      <w:r>
        <w:rPr>
          <w:rFonts w:ascii="仿宋_GB2312" w:eastAsia="仿宋_GB2312" w:hAnsi="仿宋_GB2312" w:hint="eastAsia"/>
          <w:sz w:val="18"/>
        </w:rPr>
        <w:t>乙方</w:t>
      </w:r>
      <w:r>
        <w:rPr>
          <w:rFonts w:ascii="仿宋_GB2312" w:eastAsia="仿宋_GB2312" w:hAnsi="仿宋_GB2312"/>
          <w:sz w:val="18"/>
        </w:rPr>
        <w:t>将严格保护客户相关金融信息，确保信息安全，防止客户信息泄露和滥用。</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13</w:t>
      </w:r>
      <w:r>
        <w:rPr>
          <w:rFonts w:ascii="仿宋_GB2312" w:eastAsia="仿宋_GB2312" w:hAnsi="仿宋_GB2312" w:hint="eastAsia"/>
          <w:sz w:val="18"/>
        </w:rPr>
        <w:t>、甲方所得收益的税负由甲方自行按照相关法律法规向税务机关申报、缴纳。若法律法规规定或税务机关要求乙方对甲方所得收益代扣代缴的，届时乙方将按有关规定执行。</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14</w:t>
      </w:r>
      <w:r>
        <w:rPr>
          <w:rFonts w:ascii="仿宋_GB2312" w:eastAsia="仿宋_GB2312" w:hAnsi="仿宋_GB2312" w:hint="eastAsia"/>
          <w:sz w:val="18"/>
        </w:rPr>
        <w:t>、</w:t>
      </w:r>
      <w:r>
        <w:rPr>
          <w:rFonts w:ascii="仿宋_GB2312" w:eastAsia="仿宋_GB2312" w:hAnsi="仿宋_GB2312" w:hint="eastAsia"/>
          <w:b/>
          <w:sz w:val="18"/>
        </w:rPr>
        <w:t>甲方不得以所持有的理财产品设定担保，不得转让、</w:t>
      </w:r>
      <w:r>
        <w:rPr>
          <w:rFonts w:ascii="仿宋_GB2312" w:eastAsia="仿宋_GB2312" w:hAnsi="仿宋_GB2312"/>
          <w:b/>
          <w:sz w:val="18"/>
        </w:rPr>
        <w:t>赠予</w:t>
      </w:r>
      <w:r>
        <w:rPr>
          <w:rFonts w:ascii="仿宋_GB2312" w:eastAsia="仿宋_GB2312" w:hAnsi="仿宋_GB2312" w:hint="eastAsia"/>
          <w:b/>
          <w:sz w:val="18"/>
        </w:rPr>
        <w:t>认（申）购成功的理财产品份额。</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15</w:t>
      </w:r>
      <w:r>
        <w:rPr>
          <w:rFonts w:ascii="仿宋_GB2312" w:eastAsia="仿宋_GB2312" w:hAnsi="仿宋_GB2312" w:hint="eastAsia"/>
          <w:sz w:val="18"/>
        </w:rPr>
        <w:t>、甲方应妥善保管有关银行卡、账号、电子</w:t>
      </w:r>
      <w:r>
        <w:rPr>
          <w:rFonts w:ascii="仿宋_GB2312" w:eastAsia="仿宋_GB2312" w:hAnsi="仿宋_GB2312" w:hint="eastAsia"/>
          <w:sz w:val="18"/>
        </w:rPr>
        <w:t>渠道（包括但不限于网上银行、手机银行等）的密码，凡使用电子渠道进行的一切交易活动均视为甲方亲自办理，并由甲方承担全部责任。甲方的有关证件、资料、银行卡遗失或被盗，以及密码遗忘或被盗，应按照代销银行规定及时向代销银行申请办理挂失手续，因甲方未能及时办理挂失手续而导致的一切责任或损失由甲方自行承担。</w:t>
      </w:r>
    </w:p>
    <w:p w:rsidR="009D6BA2" w:rsidRDefault="004E3C8B">
      <w:pPr>
        <w:ind w:firstLine="420"/>
        <w:textAlignment w:val="baseline"/>
        <w:rPr>
          <w:rFonts w:ascii="仿宋_GB2312" w:eastAsia="仿宋_GB2312" w:hAnsi="仿宋_GB2312"/>
          <w:b/>
          <w:sz w:val="18"/>
        </w:rPr>
      </w:pPr>
      <w:r>
        <w:rPr>
          <w:rFonts w:ascii="仿宋_GB2312" w:eastAsia="仿宋_GB2312" w:hAnsi="仿宋_GB2312" w:hint="eastAsia"/>
          <w:sz w:val="18"/>
        </w:rPr>
        <w:t>16</w:t>
      </w:r>
      <w:r>
        <w:rPr>
          <w:rFonts w:ascii="仿宋_GB2312" w:eastAsia="仿宋_GB2312" w:hAnsi="仿宋_GB2312" w:hint="eastAsia"/>
          <w:sz w:val="18"/>
        </w:rPr>
        <w:t>、甲方通过代销银行电子渠道（包括但不限于网上银行、手机银行等）进行的相关交易须遵守代销银行相关电子渠道（包括但不限于网上银行、手机银行等）的约定条款。</w:t>
      </w:r>
    </w:p>
    <w:p w:rsidR="009D6BA2" w:rsidRDefault="004E3C8B">
      <w:pPr>
        <w:ind w:firstLine="420"/>
        <w:textAlignment w:val="baseline"/>
        <w:rPr>
          <w:rFonts w:ascii="仿宋_GB2312" w:eastAsia="仿宋_GB2312" w:hAnsi="仿宋_GB2312"/>
          <w:b/>
          <w:sz w:val="18"/>
        </w:rPr>
      </w:pPr>
      <w:r>
        <w:rPr>
          <w:rFonts w:ascii="仿宋_GB2312" w:eastAsia="仿宋_GB2312" w:hAnsi="仿宋_GB2312" w:hint="eastAsia"/>
          <w:b/>
          <w:sz w:val="18"/>
        </w:rPr>
        <w:t>第四条</w:t>
      </w:r>
      <w:r>
        <w:rPr>
          <w:rFonts w:ascii="仿宋_GB2312" w:eastAsia="仿宋_GB2312" w:hAnsi="仿宋_GB2312" w:hint="eastAsia"/>
          <w:b/>
          <w:sz w:val="18"/>
        </w:rPr>
        <w:t xml:space="preserve"> </w:t>
      </w:r>
      <w:r>
        <w:rPr>
          <w:rFonts w:ascii="仿宋_GB2312" w:eastAsia="仿宋_GB2312" w:hAnsi="仿宋_GB2312" w:hint="eastAsia"/>
          <w:b/>
          <w:sz w:val="18"/>
        </w:rPr>
        <w:t>免责条款</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1</w:t>
      </w:r>
      <w:r>
        <w:rPr>
          <w:rFonts w:ascii="仿宋_GB2312" w:eastAsia="仿宋_GB2312" w:hAnsi="仿宋_GB2312" w:hint="eastAsia"/>
          <w:sz w:val="18"/>
        </w:rPr>
        <w:t>、由于地震、火灾、战争等不可抗力因素导</w:t>
      </w:r>
      <w:r>
        <w:rPr>
          <w:rFonts w:ascii="仿宋_GB2312" w:eastAsia="仿宋_GB2312" w:hAnsi="仿宋_GB2312" w:hint="eastAsia"/>
          <w:sz w:val="18"/>
        </w:rPr>
        <w:t>致的交易中断、延误等风险，乙方、代销银行将不承担责任，但应在条件允许的情况下通知甲方，并采取一切必要措施以减少不可抗力可能造成的损失。如因不可抗力导致乙方无法继续履行本协议的，则乙方有权提前终止本协议，并由</w:t>
      </w:r>
      <w:r>
        <w:rPr>
          <w:rFonts w:ascii="仿宋_GB2312" w:eastAsia="仿宋_GB2312" w:hAnsi="仿宋_GB2312"/>
          <w:sz w:val="18"/>
        </w:rPr>
        <w:t>代销银行</w:t>
      </w:r>
      <w:r>
        <w:rPr>
          <w:rFonts w:ascii="仿宋_GB2312" w:eastAsia="仿宋_GB2312" w:hAnsi="仿宋_GB2312" w:hint="eastAsia"/>
          <w:sz w:val="18"/>
        </w:rPr>
        <w:t>将发生不可抗力后剩余的甲方资金划付至甲方账户。</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2</w:t>
      </w:r>
      <w:r>
        <w:rPr>
          <w:rFonts w:ascii="仿宋_GB2312" w:eastAsia="仿宋_GB2312" w:hAnsi="仿宋_GB2312" w:hint="eastAsia"/>
          <w:sz w:val="18"/>
        </w:rPr>
        <w:t>、由于国家法律、法规及政策的改变和应急措施的出台导致甲方承担风险，乙方不承担责任。</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3</w:t>
      </w:r>
      <w:r>
        <w:rPr>
          <w:rFonts w:ascii="仿宋_GB2312" w:eastAsia="仿宋_GB2312" w:hAnsi="仿宋_GB2312" w:hint="eastAsia"/>
          <w:sz w:val="18"/>
        </w:rPr>
        <w:t>、由于甲方原因，本协议所指资金被司法机关冻结、扣划，乙方不承担责任。</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4</w:t>
      </w:r>
      <w:r>
        <w:rPr>
          <w:rFonts w:ascii="仿宋_GB2312" w:eastAsia="仿宋_GB2312" w:hAnsi="仿宋_GB2312" w:hint="eastAsia"/>
          <w:sz w:val="18"/>
        </w:rPr>
        <w:t>、本协议中涉及的所有日期如遇银行假日，则顺延至下一个工作日，由此导致的风险，乙方不承担责任</w:t>
      </w:r>
      <w:r>
        <w:rPr>
          <w:rFonts w:ascii="仿宋_GB2312" w:eastAsia="仿宋_GB2312" w:hAnsi="仿宋_GB2312" w:hint="eastAsia"/>
          <w:sz w:val="18"/>
        </w:rPr>
        <w:t>。</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5</w:t>
      </w:r>
      <w:r>
        <w:rPr>
          <w:rFonts w:ascii="仿宋_GB2312" w:eastAsia="仿宋_GB2312" w:hAnsi="仿宋_GB2312" w:hint="eastAsia"/>
          <w:sz w:val="18"/>
        </w:rPr>
        <w:t>、在乙方或代销银行系统发生故障期间或非乙方、代销银行所能控制的情况下，乙方或代销银行不能接收有关指示，则乙方或代销银行无须就此而对甲方所受损失承担任何法律责任。</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6</w:t>
      </w:r>
      <w:r>
        <w:rPr>
          <w:rFonts w:ascii="仿宋_GB2312" w:eastAsia="仿宋_GB2312" w:hAnsi="仿宋_GB2312" w:hint="eastAsia"/>
          <w:sz w:val="18"/>
        </w:rPr>
        <w:t>、由于非乙方、代销银行原因造成产品到期后，无法将理财本金及收益打入甲方指定账户的，由此产生的风险乙方、代销银行不承担责任。</w:t>
      </w:r>
    </w:p>
    <w:p w:rsidR="009D6BA2" w:rsidRDefault="004E3C8B">
      <w:pPr>
        <w:ind w:firstLine="420"/>
        <w:textAlignment w:val="baseline"/>
        <w:rPr>
          <w:rFonts w:ascii="仿宋_GB2312" w:eastAsia="仿宋_GB2312" w:hAnsi="仿宋_GB2312"/>
          <w:b/>
          <w:sz w:val="18"/>
        </w:rPr>
      </w:pPr>
      <w:r>
        <w:rPr>
          <w:rFonts w:ascii="仿宋_GB2312" w:eastAsia="仿宋_GB2312" w:hAnsi="仿宋_GB2312" w:hint="eastAsia"/>
          <w:b/>
          <w:sz w:val="18"/>
        </w:rPr>
        <w:t>第五条</w:t>
      </w:r>
      <w:r>
        <w:rPr>
          <w:rFonts w:ascii="仿宋_GB2312" w:eastAsia="仿宋_GB2312" w:hAnsi="仿宋_GB2312" w:hint="eastAsia"/>
          <w:b/>
          <w:sz w:val="18"/>
        </w:rPr>
        <w:t xml:space="preserve"> </w:t>
      </w:r>
      <w:r>
        <w:rPr>
          <w:rFonts w:ascii="仿宋_GB2312" w:eastAsia="仿宋_GB2312" w:hAnsi="仿宋_GB2312" w:hint="eastAsia"/>
          <w:b/>
          <w:sz w:val="18"/>
        </w:rPr>
        <w:t>争议处理</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b/>
          <w:sz w:val="18"/>
        </w:rPr>
        <w:t>如协商不成，可依法向乙方所在地有管辖权的人民法院提起诉讼。</w:t>
      </w:r>
    </w:p>
    <w:p w:rsidR="009D6BA2" w:rsidRDefault="004E3C8B">
      <w:pPr>
        <w:ind w:firstLine="420"/>
        <w:textAlignment w:val="baseline"/>
        <w:rPr>
          <w:rFonts w:ascii="仿宋_GB2312" w:eastAsia="仿宋_GB2312" w:hAnsi="仿宋_GB2312"/>
          <w:b/>
          <w:sz w:val="18"/>
        </w:rPr>
      </w:pPr>
      <w:r>
        <w:rPr>
          <w:rFonts w:ascii="仿宋_GB2312" w:eastAsia="仿宋_GB2312" w:hAnsi="仿宋_GB2312" w:hint="eastAsia"/>
          <w:b/>
          <w:sz w:val="18"/>
        </w:rPr>
        <w:t>第六条</w:t>
      </w:r>
      <w:r>
        <w:rPr>
          <w:rFonts w:ascii="仿宋_GB2312" w:eastAsia="仿宋_GB2312" w:hAnsi="仿宋_GB2312" w:hint="eastAsia"/>
          <w:b/>
          <w:sz w:val="18"/>
        </w:rPr>
        <w:t xml:space="preserve">  </w:t>
      </w:r>
      <w:r>
        <w:rPr>
          <w:rFonts w:ascii="仿宋_GB2312" w:eastAsia="仿宋_GB2312" w:hAnsi="仿宋_GB2312" w:hint="eastAsia"/>
          <w:b/>
          <w:sz w:val="18"/>
        </w:rPr>
        <w:t>投诉处理</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甲方对本理财产品的服务等方面存在异议，请致电代销银行，也可向乙方的客户服务中心投诉，投诉电话</w:t>
      </w:r>
      <w:r>
        <w:rPr>
          <w:rFonts w:ascii="仿宋_GB2312" w:eastAsia="仿宋_GB2312" w:hAnsi="仿宋_GB2312"/>
          <w:sz w:val="18"/>
        </w:rPr>
        <w:t xml:space="preserve">95389 </w:t>
      </w:r>
      <w:r>
        <w:rPr>
          <w:rFonts w:ascii="仿宋_GB2312" w:eastAsia="仿宋_GB2312" w:hAnsi="仿宋_GB2312"/>
          <w:sz w:val="18"/>
        </w:rPr>
        <w:t>。</w:t>
      </w:r>
    </w:p>
    <w:p w:rsidR="009D6BA2" w:rsidRDefault="004E3C8B">
      <w:pPr>
        <w:ind w:firstLine="420"/>
        <w:textAlignment w:val="baseline"/>
        <w:rPr>
          <w:rFonts w:ascii="仿宋_GB2312" w:eastAsia="仿宋_GB2312" w:hAnsi="仿宋_GB2312"/>
          <w:b/>
          <w:sz w:val="18"/>
        </w:rPr>
      </w:pPr>
      <w:r>
        <w:rPr>
          <w:rFonts w:ascii="仿宋_GB2312" w:eastAsia="仿宋_GB2312" w:hAnsi="仿宋_GB2312" w:hint="eastAsia"/>
          <w:b/>
          <w:sz w:val="18"/>
        </w:rPr>
        <w:t>第七条</w:t>
      </w:r>
      <w:r>
        <w:rPr>
          <w:rFonts w:ascii="仿宋_GB2312" w:eastAsia="仿宋_GB2312" w:hAnsi="仿宋_GB2312" w:hint="eastAsia"/>
          <w:b/>
          <w:sz w:val="18"/>
        </w:rPr>
        <w:t xml:space="preserve"> </w:t>
      </w:r>
      <w:r>
        <w:rPr>
          <w:rFonts w:ascii="仿宋_GB2312" w:eastAsia="仿宋_GB2312" w:hAnsi="仿宋_GB2312" w:hint="eastAsia"/>
          <w:b/>
          <w:sz w:val="18"/>
        </w:rPr>
        <w:t>协议的生效和终止</w:t>
      </w:r>
    </w:p>
    <w:p w:rsidR="009D6BA2" w:rsidRDefault="004E3C8B">
      <w:pPr>
        <w:ind w:firstLineChars="200" w:firstLine="360"/>
        <w:textAlignment w:val="baseline"/>
        <w:rPr>
          <w:rFonts w:ascii="仿宋_GB2312" w:eastAsia="仿宋_GB2312" w:hAnsi="仿宋_GB2312"/>
          <w:sz w:val="18"/>
        </w:rPr>
      </w:pPr>
      <w:r>
        <w:rPr>
          <w:rFonts w:ascii="仿宋_GB2312" w:eastAsia="仿宋_GB2312" w:hAnsi="仿宋_GB2312" w:hint="eastAsia"/>
          <w:sz w:val="18"/>
        </w:rPr>
        <w:t>1</w:t>
      </w:r>
      <w:r>
        <w:rPr>
          <w:rFonts w:ascii="仿宋_GB2312" w:eastAsia="仿宋_GB2312" w:hAnsi="仿宋_GB2312" w:hint="eastAsia"/>
          <w:sz w:val="18"/>
        </w:rPr>
        <w:t>、本协议在甲方通过网上银行、手机银行等电子渠道自行确认后（包括但不限于数字证书、密码、点击确认等形式），甲方将协议资金交付给代销银行之后即生效。</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2</w:t>
      </w:r>
      <w:r>
        <w:rPr>
          <w:rFonts w:ascii="仿宋_GB2312" w:eastAsia="仿宋_GB2312" w:hAnsi="仿宋_GB2312" w:hint="eastAsia"/>
          <w:sz w:val="18"/>
        </w:rPr>
        <w:t>、甲方购买理财产品失败、代销银行扣款失败、甲方或乙方行使提前终止权、乙方募集不成功或理财产品到期并结清后，本协议自动终止。在本理财产品存续期间内，乙方根据本理财产品《产品说明书》的规定提前解除本理财产品的，本协议亦随之解除。</w:t>
      </w:r>
    </w:p>
    <w:p w:rsidR="009D6BA2" w:rsidRDefault="004E3C8B">
      <w:pPr>
        <w:ind w:firstLine="420"/>
        <w:textAlignment w:val="baseline"/>
        <w:rPr>
          <w:rFonts w:ascii="仿宋_GB2312" w:eastAsia="仿宋_GB2312" w:hAnsi="仿宋_GB2312"/>
          <w:sz w:val="18"/>
        </w:rPr>
      </w:pPr>
      <w:r>
        <w:rPr>
          <w:rFonts w:ascii="仿宋_GB2312" w:eastAsia="仿宋_GB2312" w:hAnsi="仿宋_GB2312" w:hint="eastAsia"/>
          <w:sz w:val="18"/>
        </w:rPr>
        <w:t>3</w:t>
      </w:r>
      <w:r>
        <w:rPr>
          <w:rFonts w:ascii="仿宋_GB2312" w:eastAsia="仿宋_GB2312" w:hAnsi="仿宋_GB2312" w:hint="eastAsia"/>
          <w:sz w:val="18"/>
        </w:rPr>
        <w:t>、</w:t>
      </w:r>
      <w:r>
        <w:rPr>
          <w:rFonts w:ascii="仿宋_GB2312" w:eastAsia="仿宋_GB2312" w:hAnsi="仿宋_GB2312" w:hint="eastAsia"/>
          <w:b/>
          <w:sz w:val="18"/>
        </w:rPr>
        <w:t>如因司法机关或行政机关依法对甲方采取强制措施或因乙方行使相关权利（包括但不限于质权）</w:t>
      </w:r>
      <w:r>
        <w:rPr>
          <w:rFonts w:ascii="仿宋_GB2312" w:eastAsia="仿宋_GB2312" w:hAnsi="仿宋_GB2312" w:hint="eastAsia"/>
          <w:b/>
          <w:sz w:val="18"/>
        </w:rPr>
        <w:lastRenderedPageBreak/>
        <w:t>导致甲方本次认购理财产品项下权</w:t>
      </w:r>
      <w:r>
        <w:rPr>
          <w:rFonts w:ascii="仿宋_GB2312" w:eastAsia="仿宋_GB2312" w:hAnsi="仿宋_GB2312" w:hint="eastAsia"/>
          <w:b/>
          <w:sz w:val="18"/>
        </w:rPr>
        <w:t>益、理财资金或理财产品兑付回款账户被冻结，均视为甲方就全部理财资金违约进行了提前支取，本协议自动终止。本协议因此自动终止的，甲方不享有理财产品约定收益，即乙方不计付理财产品到期日前的全部收益。</w:t>
      </w:r>
    </w:p>
    <w:p w:rsidR="009D6BA2" w:rsidRDefault="004E3C8B">
      <w:pPr>
        <w:ind w:firstLine="420"/>
        <w:textAlignment w:val="baseline"/>
        <w:rPr>
          <w:rFonts w:ascii="仿宋_GB2312" w:eastAsia="仿宋_GB2312" w:hAnsi="仿宋_GB2312"/>
          <w:b/>
          <w:sz w:val="18"/>
        </w:rPr>
      </w:pPr>
      <w:r>
        <w:rPr>
          <w:rFonts w:ascii="仿宋_GB2312" w:eastAsia="仿宋_GB2312" w:hAnsi="仿宋_GB2312" w:hint="eastAsia"/>
          <w:b/>
          <w:sz w:val="18"/>
        </w:rPr>
        <w:t>第八条</w:t>
      </w:r>
      <w:r>
        <w:rPr>
          <w:rFonts w:ascii="仿宋_GB2312" w:eastAsia="仿宋_GB2312" w:hAnsi="仿宋_GB2312" w:hint="eastAsia"/>
          <w:b/>
          <w:sz w:val="18"/>
        </w:rPr>
        <w:t xml:space="preserve"> </w:t>
      </w:r>
      <w:r>
        <w:rPr>
          <w:rFonts w:ascii="仿宋_GB2312" w:eastAsia="仿宋_GB2312" w:hAnsi="仿宋_GB2312" w:hint="eastAsia"/>
          <w:b/>
          <w:sz w:val="18"/>
        </w:rPr>
        <w:t>特别提示</w:t>
      </w:r>
    </w:p>
    <w:p w:rsidR="009D6BA2" w:rsidRDefault="004E3C8B">
      <w:pPr>
        <w:ind w:firstLineChars="200" w:firstLine="360"/>
        <w:textAlignment w:val="baseline"/>
        <w:rPr>
          <w:rFonts w:ascii="仿宋_GB2312" w:eastAsia="仿宋_GB2312" w:hAnsi="仿宋_GB2312"/>
          <w:sz w:val="18"/>
        </w:rPr>
      </w:pPr>
      <w:r>
        <w:rPr>
          <w:rFonts w:ascii="仿宋_GB2312" w:eastAsia="仿宋_GB2312" w:hAnsi="仿宋_GB2312" w:hint="eastAsia"/>
          <w:sz w:val="18"/>
        </w:rPr>
        <w:t>乙方</w:t>
      </w:r>
      <w:r>
        <w:rPr>
          <w:rFonts w:ascii="仿宋_GB2312" w:eastAsia="仿宋_GB2312" w:hAnsi="仿宋_GB2312"/>
          <w:sz w:val="18"/>
        </w:rPr>
        <w:t>对</w:t>
      </w:r>
      <w:r>
        <w:rPr>
          <w:rFonts w:ascii="仿宋_GB2312" w:eastAsia="仿宋_GB2312" w:hAnsi="仿宋_GB2312" w:hint="eastAsia"/>
          <w:sz w:val="18"/>
        </w:rPr>
        <w:t>本期产品不提供账单，客户可通过重庆农</w:t>
      </w:r>
      <w:r>
        <w:rPr>
          <w:rFonts w:ascii="仿宋_GB2312" w:eastAsia="仿宋_GB2312" w:hAnsi="仿宋_GB2312"/>
          <w:sz w:val="18"/>
        </w:rPr>
        <w:t>村商业银行股份有限公司</w:t>
      </w:r>
      <w:r>
        <w:rPr>
          <w:rFonts w:ascii="仿宋_GB2312" w:eastAsia="仿宋_GB2312" w:hAnsi="仿宋_GB2312" w:hint="eastAsia"/>
          <w:sz w:val="18"/>
        </w:rPr>
        <w:t>网站查询或者到代销银行营业网点咨询理财产品运作情况。</w:t>
      </w:r>
    </w:p>
    <w:p w:rsidR="009D6BA2" w:rsidRDefault="004E3C8B">
      <w:pPr>
        <w:ind w:firstLineChars="200" w:firstLine="361"/>
        <w:textAlignment w:val="baseline"/>
        <w:rPr>
          <w:rFonts w:ascii="仿宋_GB2312" w:eastAsia="仿宋_GB2312" w:hAnsi="仿宋_GB2312"/>
          <w:sz w:val="18"/>
        </w:rPr>
      </w:pPr>
      <w:r>
        <w:rPr>
          <w:rFonts w:ascii="仿宋_GB2312" w:eastAsia="仿宋_GB2312" w:hAnsi="仿宋_GB2312" w:hint="eastAsia"/>
          <w:b/>
          <w:sz w:val="18"/>
        </w:rPr>
        <w:t>第九条</w:t>
      </w:r>
      <w:r>
        <w:rPr>
          <w:rFonts w:ascii="仿宋_GB2312" w:eastAsia="仿宋_GB2312" w:hAnsi="仿宋_GB2312" w:hint="eastAsia"/>
          <w:b/>
          <w:sz w:val="18"/>
        </w:rPr>
        <w:t xml:space="preserve"> </w:t>
      </w:r>
      <w:r>
        <w:rPr>
          <w:rFonts w:ascii="仿宋_GB2312" w:eastAsia="仿宋_GB2312" w:hAnsi="仿宋_GB2312" w:hint="eastAsia"/>
          <w:b/>
          <w:sz w:val="18"/>
        </w:rPr>
        <w:t>本产品面临的主要风险详见《风险揭示书》中风险提示部分，甲方应充分认识理财非存款，产品有风险，投资须谨慎。</w:t>
      </w:r>
      <w:r>
        <w:rPr>
          <w:rFonts w:ascii="仿宋_GB2312" w:eastAsia="仿宋_GB2312" w:hAnsi="仿宋_GB2312" w:hint="eastAsia"/>
          <w:sz w:val="18"/>
        </w:rPr>
        <w:t>《产品说明书》、《风险揭示书》、《客户权益须知》构成本协议不可分割的组</w:t>
      </w:r>
      <w:r>
        <w:rPr>
          <w:rFonts w:ascii="仿宋_GB2312" w:eastAsia="仿宋_GB2312" w:hAnsi="仿宋_GB2312" w:hint="eastAsia"/>
          <w:sz w:val="18"/>
        </w:rPr>
        <w:t>成部分，与本协议具有同等效力。客户签署本协议即视为客户已阅读并认可本协议和《产品说明书》、《风险揭示书》、《客户权益须知》的全部内容，并就投资于本理财产品做出独立判断。</w:t>
      </w:r>
    </w:p>
    <w:p w:rsidR="009D6BA2" w:rsidRDefault="004E3C8B">
      <w:pPr>
        <w:ind w:firstLineChars="200" w:firstLine="361"/>
        <w:textAlignment w:val="baseline"/>
        <w:rPr>
          <w:rFonts w:ascii="仿宋_GB2312" w:eastAsia="仿宋_GB2312" w:hAnsi="仿宋_GB2312"/>
          <w:sz w:val="18"/>
        </w:rPr>
      </w:pPr>
      <w:r>
        <w:rPr>
          <w:rFonts w:ascii="仿宋_GB2312" w:eastAsia="仿宋_GB2312" w:hAnsi="仿宋_GB2312" w:hint="eastAsia"/>
          <w:b/>
          <w:sz w:val="18"/>
        </w:rPr>
        <w:t>第十条</w:t>
      </w:r>
      <w:r>
        <w:rPr>
          <w:rFonts w:ascii="仿宋_GB2312" w:eastAsia="仿宋_GB2312" w:hAnsi="仿宋_GB2312" w:hint="eastAsia"/>
          <w:b/>
          <w:sz w:val="18"/>
        </w:rPr>
        <w:t xml:space="preserve">  </w:t>
      </w:r>
      <w:r>
        <w:rPr>
          <w:rFonts w:ascii="仿宋_GB2312" w:eastAsia="仿宋_GB2312" w:hAnsi="仿宋_GB2312" w:hint="eastAsia"/>
          <w:sz w:val="18"/>
        </w:rPr>
        <w:t>本协议未尽事宜，以《产品说明书》、《风险揭示书》、《客户权益须知》的内容为准。</w:t>
      </w:r>
    </w:p>
    <w:p w:rsidR="009D6BA2" w:rsidRDefault="004E3C8B">
      <w:pPr>
        <w:autoSpaceDE w:val="0"/>
        <w:autoSpaceDN w:val="0"/>
        <w:adjustRightInd w:val="0"/>
        <w:snapToGrid w:val="0"/>
        <w:ind w:firstLineChars="200" w:firstLine="361"/>
        <w:textAlignment w:val="baseline"/>
        <w:rPr>
          <w:rFonts w:ascii="仿宋_GB2312" w:eastAsia="仿宋_GB2312" w:hAnsi="仿宋_GB2312"/>
          <w:b/>
          <w:sz w:val="18"/>
        </w:rPr>
      </w:pPr>
      <w:r>
        <w:rPr>
          <w:rFonts w:ascii="仿宋_GB2312" w:eastAsia="仿宋_GB2312" w:hAnsi="仿宋_GB2312" w:hint="eastAsia"/>
          <w:b/>
          <w:sz w:val="18"/>
        </w:rPr>
        <w:t>第十一条</w:t>
      </w:r>
      <w:r>
        <w:rPr>
          <w:rFonts w:ascii="仿宋_GB2312" w:eastAsia="仿宋_GB2312" w:hAnsi="仿宋_GB2312" w:hint="eastAsia"/>
          <w:b/>
          <w:sz w:val="18"/>
        </w:rPr>
        <w:t xml:space="preserve">  </w:t>
      </w:r>
      <w:r>
        <w:rPr>
          <w:rFonts w:ascii="仿宋_GB2312" w:eastAsia="仿宋_GB2312" w:hAnsi="仿宋_GB2312" w:hint="eastAsia"/>
          <w:b/>
          <w:sz w:val="18"/>
        </w:rPr>
        <w:t>甲方声明</w:t>
      </w:r>
    </w:p>
    <w:p w:rsidR="009D6BA2" w:rsidRDefault="004E3C8B">
      <w:pPr>
        <w:ind w:firstLineChars="200" w:firstLine="361"/>
        <w:textAlignment w:val="baseline"/>
        <w:rPr>
          <w:rFonts w:ascii="仿宋_GB2312" w:eastAsia="仿宋_GB2312" w:hAnsi="仿宋_GB2312"/>
          <w:b/>
          <w:sz w:val="18"/>
        </w:rPr>
      </w:pPr>
      <w:r>
        <w:rPr>
          <w:rFonts w:ascii="仿宋_GB2312" w:eastAsia="仿宋_GB2312" w:hAnsi="仿宋_GB2312" w:hint="eastAsia"/>
          <w:b/>
          <w:sz w:val="18"/>
        </w:rPr>
        <w:t>本人已阅读本产品协议书及产品说明书中条款及相应的风险揭示书，充分了解并清楚知晓本产品的风险，认可本产品的信息披露途径及频率，知晓产品本金及收益兑付方式及时间，愿意承担相关风险。</w:t>
      </w:r>
    </w:p>
    <w:p w:rsidR="009D6BA2" w:rsidRDefault="009D6BA2">
      <w:pPr>
        <w:rPr>
          <w:rFonts w:hint="eastAsia"/>
        </w:rPr>
      </w:pPr>
    </w:p>
    <w:p w:rsidR="00397985" w:rsidRDefault="00397985">
      <w:pPr>
        <w:rPr>
          <w:rFonts w:hint="eastAsia"/>
        </w:rPr>
      </w:pPr>
    </w:p>
    <w:p w:rsidR="00397985" w:rsidRDefault="00397985">
      <w:pPr>
        <w:rPr>
          <w:rFonts w:hint="eastAsia"/>
        </w:rPr>
      </w:pPr>
    </w:p>
    <w:p w:rsidR="00397985" w:rsidRDefault="00397985">
      <w:pPr>
        <w:rPr>
          <w:rFonts w:hint="eastAsia"/>
        </w:rPr>
      </w:pPr>
    </w:p>
    <w:p w:rsidR="00397985" w:rsidRDefault="00397985" w:rsidP="00397985">
      <w:pPr>
        <w:jc w:val="center"/>
        <w:rPr>
          <w:rFonts w:ascii="宋体"/>
          <w:sz w:val="28"/>
          <w:szCs w:val="28"/>
        </w:rPr>
      </w:pPr>
    </w:p>
    <w:p w:rsidR="00397985" w:rsidRDefault="00397985" w:rsidP="00397985">
      <w:pPr>
        <w:jc w:val="center"/>
        <w:rPr>
          <w:rFonts w:ascii="宋体"/>
          <w:sz w:val="28"/>
          <w:szCs w:val="28"/>
        </w:rPr>
      </w:pPr>
      <w:r>
        <w:rPr>
          <w:noProof/>
        </w:rPr>
        <w:drawing>
          <wp:anchor distT="0" distB="0" distL="114300" distR="114300" simplePos="0" relativeHeight="251661312" behindDoc="0" locked="0" layoutInCell="1" allowOverlap="1">
            <wp:simplePos x="0" y="0"/>
            <wp:positionH relativeFrom="column">
              <wp:posOffset>28575</wp:posOffset>
            </wp:positionH>
            <wp:positionV relativeFrom="paragraph">
              <wp:posOffset>-218440</wp:posOffset>
            </wp:positionV>
            <wp:extent cx="2057400" cy="374650"/>
            <wp:effectExtent l="19050" t="0" r="0" b="0"/>
            <wp:wrapNone/>
            <wp:docPr id="2" name="图片 2" descr="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H"/>
                    <pic:cNvPicPr>
                      <a:picLocks noChangeAspect="1" noChangeArrowheads="1"/>
                    </pic:cNvPicPr>
                  </pic:nvPicPr>
                  <pic:blipFill>
                    <a:blip r:embed="rId9" cstate="print"/>
                    <a:srcRect/>
                    <a:stretch>
                      <a:fillRect/>
                    </a:stretch>
                  </pic:blipFill>
                  <pic:spPr>
                    <a:xfrm>
                      <a:off x="0" y="0"/>
                      <a:ext cx="2057400" cy="374650"/>
                    </a:xfrm>
                    <a:prstGeom prst="rect">
                      <a:avLst/>
                    </a:prstGeom>
                    <a:noFill/>
                    <a:ln w="9525">
                      <a:noFill/>
                      <a:miter lim="800000"/>
                      <a:headEnd/>
                      <a:tailEnd/>
                    </a:ln>
                  </pic:spPr>
                </pic:pic>
              </a:graphicData>
            </a:graphic>
          </wp:anchor>
        </w:drawing>
      </w:r>
    </w:p>
    <w:p w:rsidR="00397985" w:rsidRDefault="00397985" w:rsidP="00397985">
      <w:pPr>
        <w:jc w:val="center"/>
        <w:rPr>
          <w:rFonts w:ascii="华文中宋" w:eastAsia="华文中宋" w:hAnsi="华文中宋"/>
          <w:b/>
          <w:sz w:val="44"/>
          <w:szCs w:val="44"/>
        </w:rPr>
      </w:pPr>
      <w:r>
        <w:rPr>
          <w:rFonts w:ascii="华文中宋" w:eastAsia="华文中宋" w:hAnsi="华文中宋" w:hint="eastAsia"/>
          <w:b/>
          <w:sz w:val="44"/>
          <w:szCs w:val="44"/>
        </w:rPr>
        <w:t>重庆农村商业银行股份有限公司</w:t>
      </w:r>
    </w:p>
    <w:p w:rsidR="00397985" w:rsidRDefault="00397985" w:rsidP="00397985">
      <w:pPr>
        <w:jc w:val="center"/>
        <w:rPr>
          <w:rFonts w:ascii="华文中宋" w:eastAsia="华文中宋" w:hAnsi="华文中宋"/>
          <w:b/>
          <w:sz w:val="44"/>
          <w:szCs w:val="44"/>
        </w:rPr>
      </w:pPr>
      <w:r>
        <w:rPr>
          <w:rFonts w:ascii="华文中宋" w:eastAsia="华文中宋" w:hAnsi="华文中宋" w:hint="eastAsia"/>
          <w:b/>
          <w:sz w:val="44"/>
          <w:szCs w:val="44"/>
        </w:rPr>
        <w:t>人民币理财产品客户权益须知</w:t>
      </w:r>
    </w:p>
    <w:p w:rsidR="00397985" w:rsidRDefault="00397985" w:rsidP="00397985">
      <w:pPr>
        <w:rPr>
          <w:rFonts w:ascii="宋体"/>
        </w:rPr>
      </w:pPr>
    </w:p>
    <w:p w:rsidR="00397985" w:rsidRDefault="00397985" w:rsidP="00397985">
      <w:pPr>
        <w:rPr>
          <w:rFonts w:ascii="宋体"/>
        </w:rPr>
      </w:pPr>
    </w:p>
    <w:p w:rsidR="00397985" w:rsidRDefault="00397985" w:rsidP="00397985">
      <w:pPr>
        <w:rPr>
          <w:rFonts w:ascii="宋体"/>
          <w:sz w:val="24"/>
          <w:szCs w:val="24"/>
        </w:rPr>
      </w:pPr>
      <w:r>
        <w:rPr>
          <w:rFonts w:ascii="宋体" w:hAnsi="宋体" w:hint="eastAsia"/>
          <w:sz w:val="24"/>
          <w:szCs w:val="24"/>
        </w:rPr>
        <w:t>尊敬的客户：</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感谢您购买我行理财产品，请仔细阅读本《重庆农村商业银行股份有限公司人民币理财产品客户权益须知》，行使您在本业务项下的权益。</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一、理财产品购买流程</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您在购买我行理财产品前，可以要求我行的理财业务人员介绍产品的风险与收益情况，在您完全理解产品后，再决定是否购买。</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您决定购买产品后，在某些情况下，需要填写《重庆农村商业银行个人客户风险评估问卷》（以下简称《风险评估问卷》），以判断您是否适合购买该产品。如果您在我行已经做过风险评估且评估结果尚在有效期内，则可以不再填写问卷。</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如果您适合购买该产品，您可以通过我行提供的产品购买渠道发起产品购买的申请。</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lastRenderedPageBreak/>
        <w:t>二、关于风险评估问卷</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您应仔细阅读、填写《风险评估问卷》），以准确反映您的风险承受能力。《风险评估问卷》的填写、评分过程是我行对客户风险承受能力的评估过程。</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根据风险承受能力的不同，我行的理财产品购买客户可以分为以下几类。</w:t>
      </w:r>
    </w:p>
    <w:p w:rsidR="00397985" w:rsidRDefault="00397985" w:rsidP="00397985">
      <w:pPr>
        <w:spacing w:line="360" w:lineRule="auto"/>
        <w:ind w:right="-159" w:firstLineChars="200" w:firstLine="480"/>
        <w:rPr>
          <w:rFonts w:ascii="宋体"/>
          <w:bCs/>
          <w:sz w:val="24"/>
          <w:szCs w:val="24"/>
        </w:rPr>
      </w:pPr>
      <w:r w:rsidRPr="00162013">
        <w:rPr>
          <w:rFonts w:ascii="宋体" w:hAnsi="宋体" w:hint="eastAsia"/>
          <w:bCs/>
          <w:sz w:val="24"/>
          <w:szCs w:val="24"/>
        </w:rPr>
        <w:t>保守型投资者：适合投资于</w:t>
      </w:r>
      <w:r w:rsidRPr="00162013">
        <w:rPr>
          <w:rFonts w:ascii="宋体" w:hAnsi="宋体" w:cs="仿宋_GB2312" w:hint="eastAsia"/>
          <w:kern w:val="0"/>
          <w:sz w:val="24"/>
          <w:szCs w:val="24"/>
        </w:rPr>
        <w:t>提供本金保护且预期收益不能实现的概率极低</w:t>
      </w:r>
      <w:r w:rsidRPr="00162013">
        <w:rPr>
          <w:rFonts w:ascii="宋体" w:hAnsi="宋体" w:hint="eastAsia"/>
          <w:bCs/>
          <w:sz w:val="24"/>
          <w:szCs w:val="24"/>
        </w:rPr>
        <w:t>的理财产品，此类产品在我行风险评级为一级，风险极低。</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稳健型投资者：适合投资于</w:t>
      </w:r>
      <w:r>
        <w:rPr>
          <w:rFonts w:ascii="宋体" w:hAnsi="宋体" w:cs="仿宋_GB2312" w:hint="eastAsia"/>
          <w:kern w:val="0"/>
          <w:sz w:val="24"/>
          <w:szCs w:val="24"/>
        </w:rPr>
        <w:t>不提供本金保护，但本金亏损的概率极低，业绩比较基准或预期收益不能实现的概率极低</w:t>
      </w:r>
      <w:r>
        <w:rPr>
          <w:rFonts w:ascii="宋体" w:hAnsi="宋体" w:hint="eastAsia"/>
          <w:bCs/>
          <w:sz w:val="24"/>
          <w:szCs w:val="24"/>
        </w:rPr>
        <w:t>的理财产品。此类产品在我行风险评级为二级，风险较低。</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平衡型投资者：适合投资于</w:t>
      </w:r>
      <w:r>
        <w:rPr>
          <w:rFonts w:ascii="宋体" w:hAnsi="宋体" w:cs="仿宋_GB2312" w:hint="eastAsia"/>
          <w:kern w:val="0"/>
          <w:sz w:val="24"/>
          <w:szCs w:val="24"/>
        </w:rPr>
        <w:t>不提供本金保护，但本金亏损的概率较低，业绩比较基准或预期收益实现存在一定的不确定性</w:t>
      </w:r>
      <w:r>
        <w:rPr>
          <w:rFonts w:ascii="宋体" w:hAnsi="宋体" w:hint="eastAsia"/>
          <w:bCs/>
          <w:sz w:val="24"/>
          <w:szCs w:val="24"/>
        </w:rPr>
        <w:t>的理财产品。此类产品在我行风险评级为三级，风险中等。</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积极型投资者：适合投资于</w:t>
      </w:r>
      <w:r>
        <w:rPr>
          <w:rFonts w:ascii="宋体" w:hAnsi="宋体" w:cs="仿宋_GB2312" w:hint="eastAsia"/>
          <w:kern w:val="0"/>
          <w:sz w:val="24"/>
          <w:szCs w:val="24"/>
        </w:rPr>
        <w:t>不提供本金保护，且本金亏损概率较高的产品，业绩比较基准或预期收益实现的不确定性较大</w:t>
      </w:r>
      <w:r>
        <w:rPr>
          <w:rFonts w:ascii="宋体" w:hAnsi="宋体" w:hint="eastAsia"/>
          <w:bCs/>
          <w:sz w:val="24"/>
          <w:szCs w:val="24"/>
        </w:rPr>
        <w:t>的理财产品。此类产品在我行风险评级为四级，风险较高。</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激进型投资者：适合投资于</w:t>
      </w:r>
      <w:r>
        <w:rPr>
          <w:rFonts w:ascii="宋体" w:hAnsi="宋体" w:cs="仿宋_GB2312" w:hint="eastAsia"/>
          <w:kern w:val="0"/>
          <w:sz w:val="24"/>
          <w:szCs w:val="24"/>
        </w:rPr>
        <w:t>不提供本金保护，且本金亏损概率高，业绩比较基准或预期收益实现的不确定性大</w:t>
      </w:r>
      <w:r>
        <w:rPr>
          <w:rFonts w:ascii="宋体" w:hAnsi="宋体" w:hint="eastAsia"/>
          <w:bCs/>
          <w:sz w:val="24"/>
          <w:szCs w:val="24"/>
        </w:rPr>
        <w:t>的理财产品。此类产品在我行风险评级为五级，风险高。</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三、关于理财产品信息披露</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我行将以公告的形式进行理财产品信息披露。</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我行理财产品信息披露的渠道包括：我行网站主页（</w:t>
      </w:r>
      <w:hyperlink r:id="rId10" w:history="1">
        <w:r>
          <w:rPr>
            <w:rStyle w:val="ab"/>
            <w:rFonts w:ascii="仿宋_GB2312" w:eastAsia="仿宋_GB2312"/>
            <w:sz w:val="24"/>
          </w:rPr>
          <w:t>www.cqrcb.com</w:t>
        </w:r>
      </w:hyperlink>
      <w:r>
        <w:rPr>
          <w:rFonts w:ascii="仿宋_GB2312" w:eastAsia="仿宋_GB2312" w:hint="eastAsia"/>
          <w:sz w:val="24"/>
        </w:rPr>
        <w:t>）</w:t>
      </w:r>
      <w:r>
        <w:rPr>
          <w:rFonts w:ascii="宋体" w:hint="eastAsia"/>
          <w:bCs/>
          <w:sz w:val="24"/>
          <w:szCs w:val="24"/>
        </w:rPr>
        <w:t>、</w:t>
      </w:r>
      <w:r>
        <w:rPr>
          <w:rFonts w:ascii="宋体" w:hAnsi="宋体" w:hint="eastAsia"/>
          <w:bCs/>
          <w:sz w:val="24"/>
          <w:szCs w:val="24"/>
        </w:rPr>
        <w:t>我行营业网点；具体信息披露渠道遵循《重庆农村商业银行股份有限公司人民币理财产品说明书》的约定。信息披露的渠道如需变更，我行将通过公告的形式告知。</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理财产品信息披露的频率将根据《重庆农村商业银行股份有限公司人民币理财产品说明书》的约定执行。</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四、关于投诉与建议</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您关于我行理财产品的任何建议、意见与投诉，可以通过我行电话银行或者营业网点的理财业务人员反馈。</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t>五、我行联系方式</w:t>
      </w:r>
    </w:p>
    <w:p w:rsidR="00397985" w:rsidRDefault="00397985" w:rsidP="00397985">
      <w:pPr>
        <w:spacing w:line="360" w:lineRule="auto"/>
        <w:ind w:right="-159" w:firstLineChars="200" w:firstLine="480"/>
        <w:rPr>
          <w:rFonts w:ascii="宋体"/>
          <w:bCs/>
          <w:sz w:val="24"/>
          <w:szCs w:val="24"/>
        </w:rPr>
      </w:pPr>
      <w:r>
        <w:rPr>
          <w:rFonts w:ascii="宋体" w:hAnsi="宋体" w:hint="eastAsia"/>
          <w:bCs/>
          <w:sz w:val="24"/>
          <w:szCs w:val="24"/>
        </w:rPr>
        <w:lastRenderedPageBreak/>
        <w:t>电话银行是我行与您保持互动沟通的渠道之一，我行电话银行号码为：95389。</w:t>
      </w:r>
    </w:p>
    <w:p w:rsidR="00397985" w:rsidRDefault="00397985" w:rsidP="00397985">
      <w:pPr>
        <w:spacing w:line="360" w:lineRule="auto"/>
        <w:ind w:right="-159" w:firstLineChars="200" w:firstLine="480"/>
        <w:rPr>
          <w:rFonts w:ascii="宋体"/>
          <w:bCs/>
          <w:sz w:val="24"/>
          <w:szCs w:val="24"/>
        </w:rPr>
      </w:pPr>
    </w:p>
    <w:p w:rsidR="00397985" w:rsidRDefault="00397985" w:rsidP="00397985">
      <w:pPr>
        <w:spacing w:line="360" w:lineRule="auto"/>
        <w:ind w:right="-159" w:firstLineChars="200" w:firstLine="480"/>
        <w:jc w:val="right"/>
        <w:rPr>
          <w:rFonts w:ascii="宋体"/>
          <w:bCs/>
          <w:sz w:val="24"/>
          <w:szCs w:val="24"/>
        </w:rPr>
      </w:pPr>
      <w:r>
        <w:rPr>
          <w:rFonts w:ascii="宋体" w:hAnsi="宋体" w:hint="eastAsia"/>
          <w:bCs/>
          <w:sz w:val="24"/>
          <w:szCs w:val="24"/>
        </w:rPr>
        <w:t>重庆农村商业银行股份有限公司</w:t>
      </w:r>
    </w:p>
    <w:p w:rsidR="00397985" w:rsidRPr="00FA1A5C" w:rsidRDefault="00397985" w:rsidP="00397985">
      <w:pPr>
        <w:spacing w:line="360" w:lineRule="auto"/>
        <w:ind w:right="-159" w:firstLineChars="200" w:firstLine="480"/>
        <w:jc w:val="right"/>
        <w:rPr>
          <w:rFonts w:ascii="宋体"/>
          <w:bCs/>
          <w:sz w:val="24"/>
          <w:szCs w:val="24"/>
        </w:rPr>
      </w:pPr>
    </w:p>
    <w:p w:rsidR="00397985" w:rsidRDefault="00397985" w:rsidP="00397985">
      <w:pPr>
        <w:wordWrap w:val="0"/>
        <w:spacing w:line="360" w:lineRule="auto"/>
        <w:ind w:right="-199" w:firstLineChars="200" w:firstLine="420"/>
        <w:jc w:val="right"/>
        <w:rPr>
          <w:rFonts w:ascii="宋体"/>
          <w:bCs/>
          <w:szCs w:val="21"/>
          <w:u w:val="single"/>
        </w:rPr>
      </w:pPr>
      <w:r>
        <w:rPr>
          <w:rFonts w:ascii="宋体" w:hAnsi="宋体" w:hint="eastAsia"/>
          <w:bCs/>
          <w:szCs w:val="21"/>
        </w:rPr>
        <w:t>【</w:t>
      </w:r>
      <w:r w:rsidRPr="001A42B7">
        <w:rPr>
          <w:rFonts w:ascii="宋体" w:hAnsi="宋体" w:hint="eastAsia"/>
          <w:b/>
          <w:bCs/>
          <w:szCs w:val="21"/>
          <w:u w:val="single"/>
        </w:rPr>
        <w:t>本人已阅读并理解前述权益须知</w:t>
      </w:r>
      <w:r>
        <w:rPr>
          <w:rFonts w:ascii="宋体" w:hAnsi="宋体" w:hint="eastAsia"/>
          <w:bCs/>
          <w:szCs w:val="21"/>
          <w:u w:val="single"/>
        </w:rPr>
        <w:t>】</w:t>
      </w:r>
      <w:r>
        <w:rPr>
          <w:rFonts w:ascii="宋体" w:hAnsi="宋体" w:hint="eastAsia"/>
          <w:bCs/>
          <w:szCs w:val="21"/>
        </w:rPr>
        <w:t>客户签字栏：</w:t>
      </w:r>
      <w:r>
        <w:rPr>
          <w:rFonts w:ascii="宋体" w:hAnsi="宋体" w:hint="eastAsia"/>
          <w:bCs/>
          <w:szCs w:val="21"/>
          <w:u w:val="single"/>
        </w:rPr>
        <w:t xml:space="preserve">　　　　　　　　</w:t>
      </w:r>
    </w:p>
    <w:p w:rsidR="00397985" w:rsidRDefault="00397985" w:rsidP="00397985">
      <w:pPr>
        <w:spacing w:line="360" w:lineRule="auto"/>
        <w:ind w:right="-199" w:firstLineChars="200" w:firstLine="420"/>
        <w:jc w:val="right"/>
        <w:rPr>
          <w:rFonts w:ascii="宋体"/>
          <w:bCs/>
          <w:szCs w:val="21"/>
        </w:rPr>
      </w:pPr>
    </w:p>
    <w:p w:rsidR="00397985" w:rsidRDefault="00397985" w:rsidP="00397985">
      <w:pPr>
        <w:jc w:val="right"/>
      </w:pPr>
      <w:r>
        <w:rPr>
          <w:rFonts w:hint="eastAsia"/>
        </w:rPr>
        <w:t>年</w:t>
      </w:r>
      <w:r>
        <w:rPr>
          <w:rFonts w:hint="eastAsia"/>
        </w:rPr>
        <w:t xml:space="preserve">  </w:t>
      </w:r>
      <w:r>
        <w:rPr>
          <w:rFonts w:hint="eastAsia"/>
        </w:rPr>
        <w:t>月</w:t>
      </w:r>
      <w:r>
        <w:rPr>
          <w:rFonts w:hint="eastAsia"/>
        </w:rPr>
        <w:t xml:space="preserve">  </w:t>
      </w:r>
      <w:r>
        <w:rPr>
          <w:rFonts w:hint="eastAsia"/>
        </w:rPr>
        <w:t>日</w:t>
      </w:r>
    </w:p>
    <w:p w:rsidR="00397985" w:rsidRDefault="00397985" w:rsidP="00397985"/>
    <w:p w:rsidR="00397985" w:rsidRDefault="00397985" w:rsidP="00397985">
      <w:pPr>
        <w:pStyle w:val="10"/>
        <w:jc w:val="center"/>
        <w:rPr>
          <w:b/>
          <w:sz w:val="32"/>
          <w:szCs w:val="32"/>
        </w:rPr>
      </w:pPr>
      <w:r>
        <w:rPr>
          <w:rFonts w:hint="eastAsia"/>
          <w:b/>
          <w:sz w:val="32"/>
          <w:szCs w:val="32"/>
        </w:rPr>
        <w:t>重庆农村商业银行股份有限公司人民币理财产品</w:t>
      </w:r>
    </w:p>
    <w:p w:rsidR="00397985" w:rsidRDefault="00397985" w:rsidP="00397985">
      <w:pPr>
        <w:pStyle w:val="10"/>
        <w:jc w:val="center"/>
        <w:rPr>
          <w:b/>
          <w:sz w:val="32"/>
          <w:szCs w:val="32"/>
        </w:rPr>
      </w:pPr>
      <w:r>
        <w:rPr>
          <w:rFonts w:hint="eastAsia"/>
          <w:b/>
          <w:sz w:val="32"/>
          <w:szCs w:val="32"/>
        </w:rPr>
        <w:t>风险揭示书（非保本浮动收益净值型）</w:t>
      </w:r>
    </w:p>
    <w:p w:rsidR="00397985" w:rsidRDefault="00397985" w:rsidP="00397985">
      <w:pPr>
        <w:tabs>
          <w:tab w:val="left" w:pos="8070"/>
          <w:tab w:val="right" w:pos="8306"/>
        </w:tabs>
        <w:autoSpaceDE w:val="0"/>
        <w:autoSpaceDN w:val="0"/>
        <w:adjustRightInd w:val="0"/>
        <w:snapToGrid w:val="0"/>
        <w:spacing w:line="360" w:lineRule="auto"/>
        <w:ind w:firstLineChars="200" w:firstLine="420"/>
        <w:jc w:val="left"/>
        <w:rPr>
          <w:rFonts w:ascii="宋体"/>
          <w:bCs/>
          <w:szCs w:val="21"/>
        </w:rPr>
      </w:pPr>
    </w:p>
    <w:p w:rsidR="00397985" w:rsidRDefault="00397985" w:rsidP="00397985">
      <w:pPr>
        <w:tabs>
          <w:tab w:val="left" w:pos="8070"/>
          <w:tab w:val="right" w:pos="8306"/>
        </w:tabs>
        <w:autoSpaceDE w:val="0"/>
        <w:autoSpaceDN w:val="0"/>
        <w:adjustRightInd w:val="0"/>
        <w:snapToGrid w:val="0"/>
        <w:spacing w:line="360" w:lineRule="auto"/>
        <w:jc w:val="left"/>
        <w:rPr>
          <w:rFonts w:ascii="宋体"/>
          <w:bCs/>
          <w:szCs w:val="21"/>
        </w:rPr>
      </w:pPr>
      <w:r>
        <w:rPr>
          <w:rFonts w:ascii="宋体" w:hAnsi="宋体" w:hint="eastAsia"/>
          <w:bCs/>
          <w:szCs w:val="21"/>
        </w:rPr>
        <w:t>尊敬的客户：</w:t>
      </w:r>
    </w:p>
    <w:p w:rsidR="00397985" w:rsidRDefault="00397985" w:rsidP="00397985">
      <w:pPr>
        <w:spacing w:line="360" w:lineRule="auto"/>
        <w:ind w:firstLineChars="200" w:firstLine="422"/>
        <w:jc w:val="left"/>
        <w:rPr>
          <w:rFonts w:ascii="宋体"/>
          <w:bCs/>
          <w:szCs w:val="21"/>
        </w:rPr>
      </w:pPr>
      <w:r>
        <w:rPr>
          <w:rFonts w:ascii="宋体" w:hAnsi="宋体" w:hint="eastAsia"/>
          <w:b/>
          <w:bCs/>
          <w:szCs w:val="21"/>
        </w:rPr>
        <w:t>本理财产品是与银行存款性质不同的金融产品，具有一定风险。</w:t>
      </w:r>
      <w:r>
        <w:rPr>
          <w:rFonts w:ascii="宋体" w:hAnsi="宋体" w:hint="eastAsia"/>
          <w:bCs/>
          <w:szCs w:val="21"/>
        </w:rPr>
        <w:t>在本理财计划下，客户委托重庆农村商业银行股份有限公司（以下简称“重庆农村商业银行”或“本行”）在规定的范围内运用理财本金进行投资，但重庆农村商业银行并不保证理财本金的安全和理财收益。</w:t>
      </w:r>
      <w:r>
        <w:rPr>
          <w:rFonts w:ascii="宋体" w:hAnsi="宋体" w:hint="eastAsia"/>
          <w:szCs w:val="21"/>
        </w:rPr>
        <w:t>本《重庆农村商业银行股份有限公司人民币理财产品风险揭示书（非保本浮动收益净值型）》（以下简称“风险揭示书”）是构成《</w:t>
      </w:r>
      <w:r>
        <w:rPr>
          <w:rFonts w:ascii="宋体" w:hAnsi="宋体" w:hint="eastAsia"/>
          <w:bCs/>
          <w:szCs w:val="21"/>
        </w:rPr>
        <w:t>重庆农村商业银行股份有限公司</w:t>
      </w:r>
      <w:r>
        <w:rPr>
          <w:rFonts w:ascii="宋体" w:hAnsi="宋体" w:hint="eastAsia"/>
          <w:szCs w:val="21"/>
        </w:rPr>
        <w:t>人民币理财产品协议书》的不可分割的附件。</w:t>
      </w:r>
      <w:r>
        <w:rPr>
          <w:rFonts w:ascii="宋体" w:hAnsi="宋体" w:hint="eastAsia"/>
          <w:bCs/>
          <w:szCs w:val="21"/>
        </w:rPr>
        <w:t>在您选择购买本理财产品前，请仔细阅读以下重要内容：</w:t>
      </w:r>
    </w:p>
    <w:p w:rsidR="00397985" w:rsidRDefault="00397985" w:rsidP="00397985">
      <w:pPr>
        <w:numPr>
          <w:ilvl w:val="0"/>
          <w:numId w:val="1"/>
        </w:numPr>
        <w:spacing w:line="360" w:lineRule="auto"/>
        <w:ind w:firstLineChars="200" w:firstLine="422"/>
        <w:rPr>
          <w:rFonts w:ascii="宋体"/>
          <w:b/>
          <w:szCs w:val="21"/>
        </w:rPr>
      </w:pPr>
      <w:r>
        <w:rPr>
          <w:rFonts w:ascii="宋体" w:hAnsi="宋体" w:hint="eastAsia"/>
          <w:b/>
          <w:szCs w:val="21"/>
        </w:rPr>
        <w:t>理财非存款、产品有风险、投资须谨慎。</w:t>
      </w:r>
    </w:p>
    <w:p w:rsidR="00397985" w:rsidRDefault="00397985" w:rsidP="00397985">
      <w:pPr>
        <w:numPr>
          <w:ilvl w:val="0"/>
          <w:numId w:val="1"/>
        </w:numPr>
        <w:spacing w:line="360" w:lineRule="auto"/>
        <w:ind w:firstLineChars="200" w:firstLine="420"/>
        <w:rPr>
          <w:rFonts w:ascii="宋体"/>
          <w:szCs w:val="21"/>
        </w:rPr>
      </w:pPr>
      <w:r>
        <w:rPr>
          <w:rFonts w:ascii="宋体" w:hAnsi="宋体" w:hint="eastAsia"/>
          <w:bCs/>
          <w:szCs w:val="21"/>
        </w:rPr>
        <w:t>在购买理财产品前，请您仔细阅读《重庆农村商业银行股份有限公司</w:t>
      </w:r>
      <w:r>
        <w:rPr>
          <w:rFonts w:ascii="宋体" w:hAnsi="宋体" w:hint="eastAsia"/>
          <w:szCs w:val="21"/>
        </w:rPr>
        <w:t>人民币理财</w:t>
      </w:r>
      <w:r>
        <w:rPr>
          <w:rFonts w:ascii="宋体" w:hAnsi="宋体" w:hint="eastAsia"/>
          <w:bCs/>
          <w:szCs w:val="21"/>
        </w:rPr>
        <w:t>产品协议书》（以下简称“产品协议书”）和《重庆农村商业银行股份有限公司</w:t>
      </w:r>
      <w:r>
        <w:rPr>
          <w:rFonts w:ascii="宋体" w:hAnsi="宋体" w:hint="eastAsia"/>
          <w:szCs w:val="21"/>
        </w:rPr>
        <w:t>人民币理财</w:t>
      </w:r>
      <w:r>
        <w:rPr>
          <w:rFonts w:ascii="宋体" w:hAnsi="宋体" w:hint="eastAsia"/>
          <w:bCs/>
          <w:szCs w:val="21"/>
        </w:rPr>
        <w:t>产品说明书（非保本浮动收益净值型）》（以下简称“产品说明书”），确保自己完全明白该项投资的性质和所涉及的风险，详细了解和审慎评估该理财产品的资金投资方向、风险类型及参考收益等基本情况，在慎重考虑后自行决定购买与自身风险承受能力和资产管理需求匹配的理财产品。</w:t>
      </w:r>
    </w:p>
    <w:p w:rsidR="00397985" w:rsidRDefault="00397985" w:rsidP="00397985">
      <w:pPr>
        <w:numPr>
          <w:ilvl w:val="0"/>
          <w:numId w:val="1"/>
        </w:numPr>
        <w:spacing w:line="360" w:lineRule="auto"/>
        <w:ind w:firstLineChars="200" w:firstLine="420"/>
        <w:rPr>
          <w:rFonts w:ascii="宋体"/>
          <w:bCs/>
          <w:szCs w:val="21"/>
        </w:rPr>
      </w:pPr>
      <w:r>
        <w:rPr>
          <w:rFonts w:ascii="宋体" w:hAnsi="宋体" w:hint="eastAsia"/>
          <w:bCs/>
          <w:szCs w:val="21"/>
        </w:rPr>
        <w:t>重庆农村商业银行将通过其各营业网点或重庆农村商业银行网站等信息渠道发布本理财计划的相关信息，请投资者在购买理财产品后，关注本理财计划的信息披露情况，及时获取相关信息。</w:t>
      </w:r>
    </w:p>
    <w:p w:rsidR="00397985" w:rsidRDefault="00397985" w:rsidP="00397985">
      <w:pPr>
        <w:pStyle w:val="1"/>
        <w:numPr>
          <w:ilvl w:val="0"/>
          <w:numId w:val="1"/>
        </w:numPr>
        <w:spacing w:line="360" w:lineRule="auto"/>
        <w:ind w:firstLine="420"/>
        <w:rPr>
          <w:rFonts w:ascii="宋体"/>
          <w:bCs/>
          <w:szCs w:val="21"/>
        </w:rPr>
      </w:pPr>
      <w:r>
        <w:rPr>
          <w:rFonts w:ascii="宋体" w:hAnsi="宋体" w:hint="eastAsia"/>
          <w:bCs/>
          <w:szCs w:val="21"/>
        </w:rPr>
        <w:t>本理财产品存续期内，产品类型为非保本浮动收益封闭式</w:t>
      </w:r>
      <w:r>
        <w:rPr>
          <w:rFonts w:ascii="宋体" w:hAnsi="宋体"/>
          <w:bCs/>
          <w:szCs w:val="21"/>
        </w:rPr>
        <w:t>净值</w:t>
      </w:r>
      <w:r>
        <w:rPr>
          <w:rFonts w:ascii="宋体" w:hAnsi="宋体" w:hint="eastAsia"/>
          <w:bCs/>
          <w:szCs w:val="21"/>
        </w:rPr>
        <w:t>型，具体产品要素详见《产品说明书》。</w:t>
      </w:r>
    </w:p>
    <w:p w:rsidR="00397985" w:rsidRDefault="00397985" w:rsidP="00397985">
      <w:pPr>
        <w:pStyle w:val="1"/>
        <w:numPr>
          <w:ilvl w:val="0"/>
          <w:numId w:val="1"/>
        </w:numPr>
        <w:spacing w:line="360" w:lineRule="auto"/>
        <w:ind w:firstLine="420"/>
        <w:rPr>
          <w:rFonts w:ascii="宋体"/>
          <w:bCs/>
          <w:szCs w:val="21"/>
        </w:rPr>
      </w:pPr>
      <w:r>
        <w:rPr>
          <w:rFonts w:ascii="宋体" w:hAnsi="宋体" w:hint="eastAsia"/>
          <w:szCs w:val="21"/>
        </w:rPr>
        <w:lastRenderedPageBreak/>
        <w:t>本理财产品重庆农村商业银行内部风险评级为二级，具体详见本《风险揭示书》。</w:t>
      </w:r>
    </w:p>
    <w:p w:rsidR="00397985" w:rsidRDefault="00397985" w:rsidP="00397985">
      <w:pPr>
        <w:pStyle w:val="1"/>
        <w:numPr>
          <w:ilvl w:val="0"/>
          <w:numId w:val="1"/>
        </w:numPr>
        <w:spacing w:line="360" w:lineRule="auto"/>
        <w:ind w:firstLine="422"/>
        <w:rPr>
          <w:rFonts w:ascii="宋体"/>
          <w:bCs/>
          <w:szCs w:val="21"/>
        </w:rPr>
      </w:pPr>
      <w:r>
        <w:rPr>
          <w:rFonts w:ascii="宋体" w:hAnsi="宋体" w:hint="eastAsia"/>
          <w:b/>
          <w:bCs/>
          <w:szCs w:val="21"/>
        </w:rPr>
        <w:t>本理财产品是非保本浮动收益封闭式净值型产品，重庆农村商业银行对本理财产品的理财本金和收益不提供保证承诺，</w:t>
      </w:r>
      <w:r>
        <w:rPr>
          <w:rFonts w:ascii="宋体" w:hAnsi="宋体" w:hint="eastAsia"/>
          <w:b/>
          <w:szCs w:val="21"/>
        </w:rPr>
        <w:t>在发生最不利的情况下（可能但不一定发生），投资者可能无法取得理财收益，并可能面临损失理财本金的风险，请谨慎投资。理财产品过往业绩不代表其未来表现，不等于理财产品实际收益，投资须谨慎。</w:t>
      </w:r>
      <w:r>
        <w:rPr>
          <w:rFonts w:ascii="宋体" w:hAnsi="宋体" w:hint="eastAsia"/>
          <w:bCs/>
          <w:szCs w:val="21"/>
        </w:rPr>
        <w:t>投资者主要面临的投资风险包括信用风险、市场风险、利率风险、流动性风险、提前终止风险、延期支付风险、法律与政策风险、信息传递风险、估值风险、不可抗力及意外事件风险及产品说明书中提及的各类风险等。</w:t>
      </w:r>
    </w:p>
    <w:p w:rsidR="00397985" w:rsidRDefault="00397985" w:rsidP="00397985">
      <w:pPr>
        <w:pStyle w:val="1"/>
        <w:numPr>
          <w:ilvl w:val="0"/>
          <w:numId w:val="2"/>
        </w:numPr>
        <w:spacing w:line="360" w:lineRule="auto"/>
        <w:ind w:firstLineChars="0"/>
        <w:rPr>
          <w:rFonts w:ascii="宋体" w:hAnsi="宋体"/>
          <w:bCs/>
          <w:szCs w:val="21"/>
        </w:rPr>
      </w:pPr>
      <w:r>
        <w:rPr>
          <w:rFonts w:ascii="宋体" w:hAnsi="宋体" w:hint="eastAsia"/>
          <w:b/>
          <w:bCs/>
          <w:szCs w:val="21"/>
        </w:rPr>
        <w:t>信用风险</w:t>
      </w:r>
      <w:r>
        <w:rPr>
          <w:rFonts w:ascii="宋体" w:hAnsi="宋体" w:hint="eastAsia"/>
          <w:bCs/>
          <w:szCs w:val="21"/>
        </w:rPr>
        <w:t>：若因市场变动、债务人发生信用违约事件而未偿还本金、利息，投资者将蒙受损失，在极端情况下，前述信用风险可能导致理财本金部分或者全部损失。</w:t>
      </w:r>
    </w:p>
    <w:p w:rsidR="00397985" w:rsidRDefault="00397985" w:rsidP="00397985">
      <w:pPr>
        <w:autoSpaceDE w:val="0"/>
        <w:autoSpaceDN w:val="0"/>
        <w:adjustRightInd w:val="0"/>
        <w:spacing w:line="360" w:lineRule="auto"/>
        <w:ind w:leftChars="368" w:left="1083" w:hangingChars="147" w:hanging="310"/>
        <w:jc w:val="left"/>
        <w:rPr>
          <w:rFonts w:ascii="宋体" w:hAnsi="宋体"/>
          <w:bCs/>
          <w:szCs w:val="21"/>
        </w:rPr>
      </w:pPr>
      <w:r>
        <w:rPr>
          <w:rFonts w:ascii="宋体" w:hAnsi="宋体" w:hint="eastAsia"/>
          <w:b/>
          <w:bCs/>
          <w:szCs w:val="21"/>
        </w:rPr>
        <w:t>2、市场风险：</w:t>
      </w:r>
      <w:r>
        <w:rPr>
          <w:rFonts w:ascii="宋体" w:hAnsi="宋体" w:hint="eastAsia"/>
          <w:bCs/>
          <w:szCs w:val="21"/>
        </w:rPr>
        <w:t>指国际国内金融市场受到各种因素影响，导致本管理计划的基础资产价值可能出现波动，从而导致客户收益波动、收益为零甚至本理财产品净值跌破面值的风险。</w:t>
      </w:r>
    </w:p>
    <w:p w:rsidR="00397985" w:rsidRDefault="00397985" w:rsidP="00397985">
      <w:pPr>
        <w:pStyle w:val="1"/>
        <w:spacing w:line="360" w:lineRule="auto"/>
        <w:ind w:left="1080" w:firstLineChars="0" w:hanging="360"/>
        <w:rPr>
          <w:rFonts w:ascii="宋体"/>
          <w:bCs/>
          <w:szCs w:val="21"/>
        </w:rPr>
      </w:pPr>
      <w:r>
        <w:rPr>
          <w:rFonts w:ascii="宋体" w:hAnsi="宋体" w:hint="eastAsia"/>
          <w:b/>
          <w:bCs/>
          <w:szCs w:val="21"/>
        </w:rPr>
        <w:t>3、利率风险：</w:t>
      </w:r>
      <w:r>
        <w:rPr>
          <w:rFonts w:ascii="宋体" w:hAnsi="宋体" w:hint="eastAsia"/>
          <w:bCs/>
          <w:szCs w:val="21"/>
        </w:rPr>
        <w:t>理财产品存续期内，该产品的投资标的的价值和价格可能受市场利率变动的影响而波动，可能会使得投资者收益水平受到影响。</w:t>
      </w:r>
    </w:p>
    <w:p w:rsidR="00397985" w:rsidRDefault="00397985" w:rsidP="00397985">
      <w:pPr>
        <w:pStyle w:val="1"/>
        <w:spacing w:line="360" w:lineRule="auto"/>
        <w:ind w:left="1080" w:firstLineChars="0" w:hanging="360"/>
        <w:rPr>
          <w:rFonts w:ascii="宋体"/>
          <w:bCs/>
          <w:szCs w:val="21"/>
        </w:rPr>
      </w:pPr>
      <w:r>
        <w:rPr>
          <w:rFonts w:ascii="宋体" w:hAnsi="宋体" w:hint="eastAsia"/>
          <w:b/>
          <w:bCs/>
          <w:szCs w:val="21"/>
        </w:rPr>
        <w:t>4、流动性风险</w:t>
      </w:r>
      <w:r>
        <w:rPr>
          <w:rFonts w:ascii="宋体" w:hAnsi="宋体" w:hint="eastAsia"/>
          <w:bCs/>
          <w:szCs w:val="21"/>
        </w:rPr>
        <w:t>：由于客户不得提前赎回理财资金，在理财产品到期前，客户不能够使用理财产品的资金，也因此丧失了投资其它更高收益的理财产品或资本市场产品的机会。</w:t>
      </w:r>
    </w:p>
    <w:p w:rsidR="00397985" w:rsidRDefault="00397985" w:rsidP="00397985">
      <w:pPr>
        <w:pStyle w:val="1"/>
        <w:spacing w:line="360" w:lineRule="auto"/>
        <w:ind w:left="1080" w:firstLineChars="0" w:hanging="360"/>
        <w:rPr>
          <w:rFonts w:ascii="宋体"/>
          <w:bCs/>
          <w:szCs w:val="21"/>
        </w:rPr>
      </w:pPr>
      <w:r>
        <w:rPr>
          <w:rFonts w:ascii="宋体" w:hAnsi="宋体" w:hint="eastAsia"/>
          <w:b/>
          <w:bCs/>
          <w:szCs w:val="21"/>
        </w:rPr>
        <w:t>5、提前终止风险：</w:t>
      </w:r>
      <w:r>
        <w:rPr>
          <w:rFonts w:ascii="宋体" w:hAnsi="宋体" w:hint="eastAsia"/>
          <w:bCs/>
          <w:szCs w:val="21"/>
        </w:rPr>
        <w:t>当相关政策出现重大调整、市场出现剧烈波动、投资标的提前到期或发生其他重庆农村商业银行认为需要提前终止本理财产品等情况时，银行有权部分或全部提前终止该期理财产品，投资者可能无法实现期初预期的全部收益，并将面临再投资机会风险。</w:t>
      </w:r>
    </w:p>
    <w:p w:rsidR="00397985" w:rsidRDefault="00397985" w:rsidP="00397985">
      <w:pPr>
        <w:pStyle w:val="1"/>
        <w:spacing w:line="360" w:lineRule="auto"/>
        <w:ind w:left="1080" w:firstLineChars="0" w:hanging="360"/>
        <w:rPr>
          <w:rFonts w:ascii="宋体"/>
          <w:bCs/>
          <w:szCs w:val="21"/>
        </w:rPr>
      </w:pPr>
      <w:r>
        <w:rPr>
          <w:rFonts w:ascii="宋体" w:hAnsi="宋体" w:hint="eastAsia"/>
          <w:b/>
          <w:bCs/>
          <w:szCs w:val="21"/>
        </w:rPr>
        <w:t>6、延期支付风险：</w:t>
      </w:r>
      <w:r>
        <w:rPr>
          <w:rFonts w:ascii="宋体" w:hAnsi="宋体" w:hint="eastAsia"/>
          <w:bCs/>
          <w:szCs w:val="21"/>
        </w:rPr>
        <w:t>在本理财产品的正常到期日，如理财产品所投资的投资标的出现未能及时变现或其发行人未能及时兑付或投资标的项下相关债务人违约等情形时，本理财产品期限将延长至全部资产变现之日止。</w:t>
      </w:r>
    </w:p>
    <w:p w:rsidR="00397985" w:rsidRDefault="00397985" w:rsidP="00397985">
      <w:pPr>
        <w:pStyle w:val="1"/>
        <w:spacing w:line="360" w:lineRule="auto"/>
        <w:ind w:left="1080" w:firstLineChars="0" w:hanging="360"/>
        <w:rPr>
          <w:rFonts w:ascii="宋体" w:hAnsi="宋体"/>
          <w:bCs/>
          <w:szCs w:val="21"/>
        </w:rPr>
      </w:pPr>
      <w:r>
        <w:rPr>
          <w:rFonts w:ascii="宋体" w:hAnsi="宋体" w:hint="eastAsia"/>
          <w:b/>
          <w:bCs/>
          <w:szCs w:val="21"/>
        </w:rPr>
        <w:t>7、法律与政策风险</w:t>
      </w:r>
      <w:r>
        <w:rPr>
          <w:rFonts w:ascii="宋体" w:hAnsi="宋体" w:hint="eastAsia"/>
          <w:bCs/>
          <w:szCs w:val="21"/>
        </w:rPr>
        <w:t>：因法规、规章或政策的原因，对本理财产品本金及收益产生不利影响的风险。</w:t>
      </w:r>
    </w:p>
    <w:p w:rsidR="00397985" w:rsidRDefault="00397985" w:rsidP="00397985">
      <w:pPr>
        <w:pStyle w:val="1"/>
        <w:spacing w:line="360" w:lineRule="auto"/>
        <w:ind w:left="1080" w:firstLineChars="0" w:hanging="360"/>
        <w:rPr>
          <w:rFonts w:ascii="宋体"/>
          <w:b/>
          <w:bCs/>
          <w:szCs w:val="21"/>
        </w:rPr>
      </w:pPr>
      <w:r>
        <w:rPr>
          <w:rFonts w:ascii="宋体" w:hAnsi="宋体" w:hint="eastAsia"/>
          <w:b/>
          <w:bCs/>
          <w:szCs w:val="21"/>
        </w:rPr>
        <w:t>8、信息传递风险</w:t>
      </w:r>
      <w:r>
        <w:rPr>
          <w:rFonts w:ascii="宋体" w:hAnsi="宋体" w:hint="eastAsia"/>
          <w:bCs/>
          <w:szCs w:val="21"/>
        </w:rPr>
        <w:t>：重庆农村商业银行将按照产品说明书的约定进行产品信息披露，</w:t>
      </w:r>
      <w:r>
        <w:rPr>
          <w:rFonts w:ascii="宋体" w:hAnsi="宋体" w:hint="eastAsia"/>
          <w:bCs/>
          <w:szCs w:val="21"/>
        </w:rPr>
        <w:lastRenderedPageBreak/>
        <w:t>客户应充分关注并及时主动查询本产品相关信息。客户预留的有效联系方式发生变更的，亦应及时通知重庆农村商业银行。如客户未及时查询相关信息，或预留联系方式变更未及时通知重庆农村商业银行导致重庆农村商业银行在其认为需要时无法及时联系到客户的，可能会影响客户的投资决策，因此而产生的责任和风险由客户自行承担。</w:t>
      </w:r>
    </w:p>
    <w:p w:rsidR="00397985" w:rsidRDefault="00397985" w:rsidP="00397985">
      <w:pPr>
        <w:pStyle w:val="1"/>
        <w:spacing w:line="360" w:lineRule="auto"/>
        <w:ind w:leftChars="336" w:left="993" w:hangingChars="136" w:hanging="287"/>
        <w:rPr>
          <w:rFonts w:ascii="宋体"/>
          <w:b/>
          <w:bCs/>
          <w:szCs w:val="21"/>
        </w:rPr>
      </w:pPr>
      <w:r>
        <w:rPr>
          <w:rFonts w:ascii="宋体" w:hAnsi="宋体" w:hint="eastAsia"/>
          <w:b/>
          <w:bCs/>
          <w:szCs w:val="21"/>
        </w:rPr>
        <w:t>9、估值风险</w:t>
      </w:r>
      <w:r>
        <w:rPr>
          <w:rFonts w:ascii="宋体" w:hAnsi="宋体" w:hint="eastAsia"/>
          <w:bCs/>
          <w:szCs w:val="21"/>
        </w:rPr>
        <w:t>：本理财产品采用的估值方法有可能不能充分反映和揭示风险，或经济环境发生重大变化时，在一定时期内可能高估或低估理财产品资产净值。</w:t>
      </w:r>
    </w:p>
    <w:p w:rsidR="00397985" w:rsidRDefault="00397985" w:rsidP="00397985">
      <w:pPr>
        <w:pStyle w:val="1"/>
        <w:spacing w:line="360" w:lineRule="auto"/>
        <w:ind w:left="1080" w:firstLineChars="0" w:hanging="360"/>
        <w:rPr>
          <w:rFonts w:ascii="宋体"/>
          <w:bCs/>
          <w:szCs w:val="21"/>
        </w:rPr>
      </w:pPr>
      <w:r>
        <w:rPr>
          <w:rFonts w:ascii="宋体" w:hAnsi="宋体" w:hint="eastAsia"/>
          <w:b/>
          <w:bCs/>
          <w:szCs w:val="21"/>
        </w:rPr>
        <w:t>10、不可抗力及意外事件风险</w:t>
      </w:r>
      <w:r>
        <w:rPr>
          <w:rFonts w:ascii="宋体" w:hAnsi="宋体"/>
          <w:b/>
          <w:bCs/>
          <w:szCs w:val="21"/>
        </w:rPr>
        <w:t>:</w:t>
      </w:r>
      <w:r>
        <w:rPr>
          <w:rFonts w:ascii="宋体" w:hAnsi="宋体" w:hint="eastAsia"/>
          <w:bCs/>
          <w:szCs w:val="21"/>
        </w:rPr>
        <w:t>由于自然灾害、战争等不可抗力因素的出现，致使严重影响金融市场的正常运行，甚至影响本期理财产品的受理、投资、兑付等的正常进行，进而影响本期理财产品的本金和收益安全。</w:t>
      </w:r>
    </w:p>
    <w:p w:rsidR="00397985" w:rsidRDefault="00397985" w:rsidP="00397985">
      <w:pPr>
        <w:pStyle w:val="1"/>
        <w:numPr>
          <w:ilvl w:val="0"/>
          <w:numId w:val="1"/>
        </w:numPr>
        <w:spacing w:line="360" w:lineRule="auto"/>
        <w:ind w:firstLine="422"/>
        <w:rPr>
          <w:rFonts w:ascii="宋体"/>
          <w:b/>
          <w:bCs/>
          <w:szCs w:val="21"/>
        </w:rPr>
      </w:pPr>
      <w:r>
        <w:rPr>
          <w:rFonts w:ascii="宋体" w:hAnsi="宋体" w:hint="eastAsia"/>
          <w:b/>
          <w:bCs/>
          <w:szCs w:val="21"/>
        </w:rPr>
        <w:t>最不利投资情形下的投资结果示例：若理财产品运作期间，该理财产品投资标的出现各类风险，则客户可能无法获得收益，甚至客户的投资本金将遭受损失，在最不利的极端情况下，客户可能损失全部本金。</w:t>
      </w:r>
    </w:p>
    <w:p w:rsidR="00397985" w:rsidRDefault="00397985" w:rsidP="00397985">
      <w:pPr>
        <w:pStyle w:val="1"/>
        <w:numPr>
          <w:ilvl w:val="0"/>
          <w:numId w:val="1"/>
        </w:numPr>
        <w:spacing w:line="360" w:lineRule="auto"/>
        <w:ind w:firstLine="420"/>
        <w:rPr>
          <w:rFonts w:ascii="宋体"/>
          <w:b/>
          <w:bCs/>
          <w:szCs w:val="21"/>
        </w:rPr>
      </w:pPr>
      <w:r>
        <w:rPr>
          <w:rFonts w:ascii="宋体" w:hAnsi="宋体" w:hint="eastAsia"/>
          <w:bCs/>
          <w:szCs w:val="21"/>
        </w:rPr>
        <w:t>《江苏泗阳农村商业银行个人客户风险评估问卷》（以下简称《风险评估问卷》）用于评估客户对金融工具及投资目标的相关风险的态度。</w:t>
      </w:r>
    </w:p>
    <w:p w:rsidR="00397985" w:rsidRDefault="00397985" w:rsidP="00397985">
      <w:pPr>
        <w:pStyle w:val="1"/>
        <w:numPr>
          <w:ilvl w:val="0"/>
          <w:numId w:val="1"/>
        </w:numPr>
        <w:spacing w:line="360" w:lineRule="auto"/>
        <w:ind w:firstLine="420"/>
        <w:rPr>
          <w:rFonts w:ascii="宋体"/>
          <w:b/>
          <w:bCs/>
          <w:szCs w:val="21"/>
        </w:rPr>
      </w:pPr>
      <w:r>
        <w:rPr>
          <w:rFonts w:ascii="宋体" w:hAnsi="宋体" w:hint="eastAsia"/>
          <w:bCs/>
          <w:szCs w:val="21"/>
        </w:rPr>
        <w:t>个人客户购买重庆农村商业银行理财产品前应在代销机构进行风险评估。</w:t>
      </w:r>
    </w:p>
    <w:p w:rsidR="00397985" w:rsidRDefault="00397985" w:rsidP="00397985">
      <w:pPr>
        <w:pStyle w:val="1"/>
        <w:spacing w:line="360" w:lineRule="auto"/>
        <w:ind w:left="420" w:firstLine="422"/>
        <w:rPr>
          <w:rFonts w:ascii="宋体"/>
          <w:b/>
          <w:bCs/>
          <w:szCs w:val="21"/>
        </w:rPr>
      </w:pPr>
      <w:r>
        <w:rPr>
          <w:rFonts w:ascii="宋体" w:hAnsi="宋体" w:hint="eastAsia"/>
          <w:b/>
          <w:bCs/>
          <w:szCs w:val="21"/>
        </w:rPr>
        <w:t>根据《风险评估问卷》的相关信息，您属于____型投资者，（适合</w:t>
      </w:r>
      <w:r>
        <w:rPr>
          <w:rFonts w:ascii="宋体" w:hAnsi="宋体"/>
          <w:b/>
          <w:bCs/>
          <w:szCs w:val="21"/>
        </w:rPr>
        <w:t>/</w:t>
      </w:r>
      <w:r>
        <w:rPr>
          <w:rFonts w:ascii="宋体" w:hAnsi="宋体" w:hint="eastAsia"/>
          <w:b/>
          <w:bCs/>
          <w:szCs w:val="21"/>
        </w:rPr>
        <w:t>不适合）购买本理财产品。</w:t>
      </w:r>
      <w:r>
        <w:rPr>
          <w:rFonts w:ascii="宋体" w:hAnsi="宋体" w:hint="eastAsia"/>
          <w:bCs/>
          <w:szCs w:val="21"/>
        </w:rPr>
        <w:t>投资者应根据自身风险承受能力购买适合的理财产品，</w:t>
      </w:r>
      <w:r>
        <w:rPr>
          <w:rFonts w:ascii="宋体" w:hAnsi="宋体" w:hint="eastAsia"/>
          <w:b/>
          <w:bCs/>
          <w:szCs w:val="21"/>
        </w:rPr>
        <w:t>如影响您风险承受能力的因素发生变化，请及时完成风险承受能力评估。</w:t>
      </w:r>
    </w:p>
    <w:p w:rsidR="00397985" w:rsidRDefault="00397985" w:rsidP="00397985">
      <w:pPr>
        <w:pStyle w:val="1"/>
        <w:spacing w:line="360" w:lineRule="auto"/>
        <w:ind w:left="420"/>
        <w:rPr>
          <w:rFonts w:ascii="宋体"/>
          <w:bCs/>
          <w:szCs w:val="21"/>
        </w:rPr>
      </w:pPr>
      <w:r>
        <w:rPr>
          <w:rFonts w:ascii="宋体" w:hAnsi="宋体" w:hint="eastAsia"/>
          <w:bCs/>
          <w:szCs w:val="21"/>
        </w:rPr>
        <w:t>您在签署本产品协议书时，应同时抄录本揭示书最后的客户风险确认栏内的语句并签名。</w:t>
      </w:r>
    </w:p>
    <w:p w:rsidR="00397985" w:rsidRDefault="00397985" w:rsidP="00397985">
      <w:pPr>
        <w:ind w:left="540"/>
        <w:rPr>
          <w:rFonts w:ascii="宋体" w:cs="Arial"/>
          <w:szCs w:val="21"/>
        </w:rPr>
      </w:pPr>
      <w:r w:rsidRPr="00EB7E24">
        <w:rPr>
          <w:rFonts w:ascii="Calibri"/>
          <w:szCs w:val="22"/>
        </w:rPr>
        <w:pict>
          <v:shapetype id="_x0000_t202" coordsize="21600,21600" o:spt="202" path="m,l,21600r21600,l21600,xe">
            <v:stroke joinstyle="miter"/>
            <v:path gradientshapeok="t" o:connecttype="rect"/>
          </v:shapetype>
          <v:shape id="文本框 2" o:spid="_x0000_s1026" type="#_x0000_t202" style="position:absolute;left:0;text-align:left;margin-left:0;margin-top:7.8pt;width:418.5pt;height:224.85pt;z-index:251663360" o:gfxdata="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R&#10;MPp81gAAAAcBAAAPAAAAAAAAAAEAIAAAACIAAABkcnMvZG93bnJldi54bWxQSwECFAAUAAAACACH&#10;TuJA51c2Wu0BAADBAwAADgAAAAAAAAABACAAAAAlAQAAZHJzL2Uyb0RvYy54bWxQSwUGAAAAAAYA&#10;BgBZAQAAhAUAAAAA&#10;" filled="f" strokecolor="#330" strokeweight="1pt">
            <v:textbox>
              <w:txbxContent>
                <w:p w:rsidR="00397985" w:rsidRDefault="00397985" w:rsidP="00397985">
                  <w:pPr>
                    <w:jc w:val="center"/>
                    <w:rPr>
                      <w:rFonts w:ascii="宋体" w:cs="Arial"/>
                      <w:sz w:val="24"/>
                      <w:u w:val="single"/>
                    </w:rPr>
                  </w:pPr>
                  <w:r>
                    <w:rPr>
                      <w:rFonts w:ascii="宋体" w:hAnsi="宋体" w:cs="Arial" w:hint="eastAsia"/>
                      <w:sz w:val="24"/>
                      <w:u w:val="single"/>
                    </w:rPr>
                    <w:t>客户风险确认栏</w:t>
                  </w:r>
                </w:p>
                <w:p w:rsidR="00397985" w:rsidRDefault="00397985" w:rsidP="00397985">
                  <w:pPr>
                    <w:jc w:val="center"/>
                    <w:rPr>
                      <w:rFonts w:ascii="宋体" w:cs="Arial"/>
                      <w:sz w:val="24"/>
                      <w:u w:val="single"/>
                    </w:rPr>
                  </w:pPr>
                </w:p>
                <w:p w:rsidR="00397985" w:rsidRDefault="00397985" w:rsidP="00397985">
                  <w:pPr>
                    <w:jc w:val="center"/>
                    <w:rPr>
                      <w:rFonts w:ascii="宋体" w:cs="Arial"/>
                      <w:sz w:val="24"/>
                      <w:u w:val="single"/>
                    </w:rPr>
                  </w:pPr>
                </w:p>
                <w:p w:rsidR="00397985" w:rsidRDefault="00397985" w:rsidP="00397985">
                  <w:pPr>
                    <w:rPr>
                      <w:rFonts w:ascii="宋体" w:cs="Arial"/>
                      <w:sz w:val="24"/>
                    </w:rPr>
                  </w:pPr>
                  <w:r>
                    <w:rPr>
                      <w:rFonts w:ascii="宋体" w:hAnsi="宋体" w:cs="Arial" w:hint="eastAsia"/>
                      <w:sz w:val="24"/>
                    </w:rPr>
                    <w:t>声明：</w:t>
                  </w:r>
                </w:p>
                <w:p w:rsidR="00397985" w:rsidRDefault="00397985" w:rsidP="00397985">
                  <w:pPr>
                    <w:rPr>
                      <w:rFonts w:ascii="宋体" w:cs="Arial"/>
                      <w:sz w:val="24"/>
                    </w:rPr>
                  </w:pPr>
                  <w:r>
                    <w:rPr>
                      <w:rFonts w:ascii="宋体" w:hAnsi="宋体" w:cs="Arial" w:hint="eastAsia"/>
                      <w:sz w:val="24"/>
                    </w:rPr>
                    <w:t>（您需全文抄录以下文字以完成确认：</w:t>
                  </w:r>
                  <w:r>
                    <w:rPr>
                      <w:rFonts w:ascii="黑体" w:eastAsia="黑体" w:hAnsi="宋体" w:cs="Arial" w:hint="eastAsia"/>
                      <w:b/>
                      <w:sz w:val="24"/>
                    </w:rPr>
                    <w:t>本人已经阅读风险揭示，愿意承担投资风险</w:t>
                  </w:r>
                  <w:r>
                    <w:rPr>
                      <w:rFonts w:ascii="宋体" w:hAnsi="宋体" w:cs="Arial" w:hint="eastAsia"/>
                      <w:sz w:val="24"/>
                    </w:rPr>
                    <w:t>。）</w:t>
                  </w:r>
                </w:p>
                <w:p w:rsidR="00397985" w:rsidRDefault="00397985" w:rsidP="00397985">
                  <w:pPr>
                    <w:rPr>
                      <w:rFonts w:ascii="宋体" w:cs="Arial"/>
                      <w:sz w:val="24"/>
                    </w:rPr>
                  </w:pPr>
                </w:p>
                <w:p w:rsidR="00397985" w:rsidRDefault="00397985" w:rsidP="00397985">
                  <w:pPr>
                    <w:rPr>
                      <w:u w:val="single"/>
                    </w:rPr>
                  </w:pPr>
                </w:p>
                <w:p w:rsidR="00397985" w:rsidRDefault="00397985" w:rsidP="00397985">
                  <w:pPr>
                    <w:rPr>
                      <w:u w:val="single"/>
                    </w:rPr>
                  </w:pPr>
                </w:p>
                <w:p w:rsidR="00397985" w:rsidRDefault="00397985" w:rsidP="00397985">
                  <w:pPr>
                    <w:rPr>
                      <w:u w:val="single"/>
                    </w:rPr>
                  </w:pPr>
                </w:p>
                <w:p w:rsidR="00397985" w:rsidRDefault="00397985" w:rsidP="00397985">
                  <w:pPr>
                    <w:rPr>
                      <w:u w:val="single"/>
                    </w:rPr>
                  </w:pPr>
                </w:p>
                <w:p w:rsidR="00397985" w:rsidRDefault="00397985" w:rsidP="00397985">
                  <w:pPr>
                    <w:ind w:left="4200" w:firstLine="420"/>
                  </w:pPr>
                  <w:r>
                    <w:rPr>
                      <w:rFonts w:ascii="宋体" w:hAnsi="宋体" w:cs="Arial" w:hint="eastAsia"/>
                      <w:sz w:val="24"/>
                    </w:rPr>
                    <w:t>签字栏：</w:t>
                  </w:r>
                </w:p>
              </w:txbxContent>
            </v:textbox>
          </v:shape>
        </w:pict>
      </w:r>
    </w:p>
    <w:p w:rsidR="00397985" w:rsidRDefault="00397985" w:rsidP="00397985">
      <w:pPr>
        <w:ind w:left="540"/>
        <w:jc w:val="right"/>
        <w:rPr>
          <w:rFonts w:ascii="宋体" w:cs="Arial"/>
          <w:szCs w:val="21"/>
        </w:rPr>
      </w:pPr>
    </w:p>
    <w:p w:rsidR="00397985" w:rsidRDefault="00397985" w:rsidP="00397985">
      <w:pPr>
        <w:ind w:left="540" w:right="240"/>
        <w:jc w:val="right"/>
        <w:rPr>
          <w:rFonts w:ascii="宋体" w:cs="Arial"/>
          <w:szCs w:val="21"/>
        </w:rPr>
      </w:pPr>
    </w:p>
    <w:p w:rsidR="00397985" w:rsidRDefault="00397985" w:rsidP="00397985">
      <w:pPr>
        <w:autoSpaceDE w:val="0"/>
        <w:autoSpaceDN w:val="0"/>
        <w:adjustRightInd w:val="0"/>
        <w:snapToGrid w:val="0"/>
        <w:spacing w:line="320" w:lineRule="exact"/>
        <w:ind w:firstLineChars="200" w:firstLine="420"/>
        <w:rPr>
          <w:rFonts w:ascii="宋体"/>
          <w:szCs w:val="21"/>
        </w:rPr>
      </w:pPr>
    </w:p>
    <w:p w:rsidR="00397985" w:rsidRDefault="00397985" w:rsidP="00397985">
      <w:pPr>
        <w:autoSpaceDE w:val="0"/>
        <w:autoSpaceDN w:val="0"/>
        <w:adjustRightInd w:val="0"/>
        <w:snapToGrid w:val="0"/>
        <w:spacing w:line="320" w:lineRule="exact"/>
        <w:ind w:firstLine="420"/>
        <w:rPr>
          <w:rFonts w:ascii="宋体"/>
          <w:szCs w:val="21"/>
        </w:rPr>
      </w:pPr>
    </w:p>
    <w:p w:rsidR="00397985" w:rsidRDefault="00397985" w:rsidP="00397985">
      <w:pPr>
        <w:autoSpaceDE w:val="0"/>
        <w:autoSpaceDN w:val="0"/>
        <w:adjustRightInd w:val="0"/>
        <w:snapToGrid w:val="0"/>
        <w:spacing w:line="320" w:lineRule="exact"/>
        <w:ind w:firstLineChars="150" w:firstLine="315"/>
        <w:rPr>
          <w:rFonts w:ascii="宋体"/>
          <w:szCs w:val="21"/>
        </w:rPr>
      </w:pPr>
    </w:p>
    <w:p w:rsidR="00397985" w:rsidRDefault="00397985" w:rsidP="00397985">
      <w:pPr>
        <w:autoSpaceDE w:val="0"/>
        <w:autoSpaceDN w:val="0"/>
        <w:adjustRightInd w:val="0"/>
        <w:snapToGrid w:val="0"/>
        <w:spacing w:line="320" w:lineRule="exact"/>
        <w:ind w:firstLineChars="150" w:firstLine="315"/>
        <w:rPr>
          <w:rFonts w:ascii="宋体"/>
          <w:szCs w:val="21"/>
        </w:rPr>
      </w:pPr>
    </w:p>
    <w:p w:rsidR="00397985" w:rsidRDefault="00397985" w:rsidP="00397985">
      <w:pPr>
        <w:autoSpaceDE w:val="0"/>
        <w:autoSpaceDN w:val="0"/>
        <w:adjustRightInd w:val="0"/>
        <w:snapToGrid w:val="0"/>
        <w:spacing w:line="320" w:lineRule="exact"/>
        <w:ind w:firstLineChars="150" w:firstLine="315"/>
        <w:rPr>
          <w:rFonts w:ascii="宋体"/>
          <w:szCs w:val="21"/>
        </w:rPr>
      </w:pPr>
    </w:p>
    <w:p w:rsidR="00397985" w:rsidRDefault="00397985" w:rsidP="00397985">
      <w:pPr>
        <w:autoSpaceDE w:val="0"/>
        <w:autoSpaceDN w:val="0"/>
        <w:adjustRightInd w:val="0"/>
        <w:snapToGrid w:val="0"/>
        <w:spacing w:line="320" w:lineRule="exact"/>
        <w:ind w:firstLineChars="150" w:firstLine="315"/>
        <w:rPr>
          <w:rFonts w:ascii="宋体"/>
          <w:szCs w:val="21"/>
        </w:rPr>
      </w:pPr>
    </w:p>
    <w:p w:rsidR="00397985" w:rsidRDefault="00397985" w:rsidP="00397985">
      <w:pPr>
        <w:autoSpaceDE w:val="0"/>
        <w:autoSpaceDN w:val="0"/>
        <w:adjustRightInd w:val="0"/>
        <w:snapToGrid w:val="0"/>
        <w:spacing w:line="320" w:lineRule="exact"/>
        <w:ind w:firstLineChars="150" w:firstLine="315"/>
        <w:rPr>
          <w:rFonts w:ascii="宋体"/>
          <w:szCs w:val="21"/>
        </w:rPr>
      </w:pPr>
    </w:p>
    <w:p w:rsidR="00397985" w:rsidRDefault="00397985" w:rsidP="00397985">
      <w:pPr>
        <w:autoSpaceDE w:val="0"/>
        <w:autoSpaceDN w:val="0"/>
        <w:adjustRightInd w:val="0"/>
        <w:snapToGrid w:val="0"/>
        <w:spacing w:line="320" w:lineRule="exact"/>
        <w:ind w:firstLineChars="150" w:firstLine="315"/>
        <w:rPr>
          <w:rFonts w:ascii="宋体"/>
          <w:szCs w:val="21"/>
        </w:rPr>
      </w:pPr>
    </w:p>
    <w:p w:rsidR="00397985" w:rsidRDefault="00397985" w:rsidP="00397985">
      <w:pPr>
        <w:autoSpaceDE w:val="0"/>
        <w:autoSpaceDN w:val="0"/>
        <w:adjustRightInd w:val="0"/>
        <w:ind w:firstLine="420"/>
        <w:jc w:val="left"/>
        <w:rPr>
          <w:rFonts w:ascii="宋体"/>
          <w:b/>
          <w:szCs w:val="21"/>
        </w:rPr>
      </w:pPr>
    </w:p>
    <w:p w:rsidR="00397985" w:rsidRDefault="00397985" w:rsidP="00397985">
      <w:pPr>
        <w:autoSpaceDE w:val="0"/>
        <w:autoSpaceDN w:val="0"/>
        <w:adjustRightInd w:val="0"/>
        <w:ind w:firstLine="420"/>
        <w:jc w:val="left"/>
        <w:rPr>
          <w:rFonts w:ascii="宋体"/>
          <w:b/>
          <w:szCs w:val="21"/>
        </w:rPr>
      </w:pPr>
    </w:p>
    <w:p w:rsidR="00397985" w:rsidRDefault="00397985" w:rsidP="00397985">
      <w:pPr>
        <w:autoSpaceDE w:val="0"/>
        <w:autoSpaceDN w:val="0"/>
        <w:adjustRightInd w:val="0"/>
        <w:ind w:firstLine="420"/>
        <w:jc w:val="left"/>
        <w:rPr>
          <w:rFonts w:ascii="宋体" w:hAnsi="宋体"/>
          <w:szCs w:val="21"/>
        </w:rPr>
      </w:pPr>
    </w:p>
    <w:p w:rsidR="00397985" w:rsidRDefault="00397985" w:rsidP="00397985">
      <w:pPr>
        <w:autoSpaceDE w:val="0"/>
        <w:autoSpaceDN w:val="0"/>
        <w:adjustRightInd w:val="0"/>
        <w:ind w:firstLine="420"/>
        <w:jc w:val="left"/>
        <w:rPr>
          <w:rFonts w:ascii="宋体" w:hAnsi="宋体"/>
          <w:szCs w:val="21"/>
        </w:rPr>
      </w:pPr>
    </w:p>
    <w:p w:rsidR="00397985" w:rsidRDefault="00397985" w:rsidP="00397985">
      <w:pPr>
        <w:autoSpaceDE w:val="0"/>
        <w:autoSpaceDN w:val="0"/>
        <w:adjustRightInd w:val="0"/>
        <w:ind w:firstLine="420"/>
        <w:jc w:val="left"/>
        <w:rPr>
          <w:rFonts w:ascii="宋体" w:hAnsi="宋体"/>
          <w:szCs w:val="21"/>
        </w:rPr>
      </w:pPr>
    </w:p>
    <w:p w:rsidR="00397985" w:rsidRDefault="00397985" w:rsidP="00397985">
      <w:pPr>
        <w:autoSpaceDE w:val="0"/>
        <w:autoSpaceDN w:val="0"/>
        <w:adjustRightInd w:val="0"/>
        <w:ind w:firstLine="420"/>
        <w:jc w:val="left"/>
        <w:rPr>
          <w:rFonts w:ascii="宋体"/>
          <w:szCs w:val="21"/>
        </w:rPr>
      </w:pPr>
      <w:r>
        <w:rPr>
          <w:rFonts w:ascii="宋体" w:hAnsi="宋体" w:hint="eastAsia"/>
          <w:szCs w:val="21"/>
        </w:rPr>
        <w:t>十、特别说明</w:t>
      </w:r>
    </w:p>
    <w:p w:rsidR="00397985" w:rsidRDefault="00397985" w:rsidP="00397985">
      <w:pPr>
        <w:pStyle w:val="1"/>
        <w:spacing w:line="360" w:lineRule="auto"/>
        <w:ind w:left="420"/>
        <w:jc w:val="left"/>
        <w:rPr>
          <w:rFonts w:ascii="宋体" w:hAnsi="宋体"/>
          <w:bCs/>
          <w:szCs w:val="21"/>
        </w:rPr>
      </w:pPr>
      <w:r>
        <w:rPr>
          <w:rFonts w:ascii="宋体" w:hAnsi="宋体" w:hint="eastAsia"/>
          <w:bCs/>
          <w:szCs w:val="21"/>
        </w:rPr>
        <w:t>根据重庆农村商业银行内部风险评级，本产品风险评级为二级，（本风险评级为我行内部评级结果，该评级结果仅供参考，不具备法律效力）。重庆农村商业银行将根据二级理财产品的运作要求对本理财计划进行管理。</w:t>
      </w:r>
    </w:p>
    <w:p w:rsidR="00397985" w:rsidRDefault="00397985" w:rsidP="00397985">
      <w:pPr>
        <w:pStyle w:val="1"/>
        <w:spacing w:line="360" w:lineRule="auto"/>
        <w:ind w:left="420"/>
        <w:jc w:val="left"/>
        <w:rPr>
          <w:rFonts w:ascii="宋体" w:hAnsi="宋体"/>
          <w:bCs/>
          <w:szCs w:val="21"/>
        </w:rPr>
      </w:pPr>
    </w:p>
    <w:p w:rsidR="00397985" w:rsidRDefault="00397985" w:rsidP="00397985">
      <w:pPr>
        <w:pStyle w:val="1"/>
        <w:spacing w:line="360" w:lineRule="auto"/>
        <w:ind w:firstLineChars="0" w:firstLine="0"/>
        <w:jc w:val="left"/>
        <w:rPr>
          <w:rFonts w:ascii="宋体" w:hAnsi="宋体"/>
          <w:bCs/>
          <w:szCs w:val="21"/>
        </w:rPr>
      </w:pPr>
    </w:p>
    <w:p w:rsidR="00397985" w:rsidRDefault="00397985" w:rsidP="00397985">
      <w:pPr>
        <w:pStyle w:val="1"/>
        <w:spacing w:line="360" w:lineRule="auto"/>
        <w:ind w:left="420"/>
        <w:jc w:val="left"/>
        <w:rPr>
          <w:rFonts w:ascii="宋体" w:hAnsi="宋体"/>
          <w:bCs/>
          <w:szCs w:val="21"/>
        </w:rPr>
      </w:pPr>
    </w:p>
    <w:p w:rsidR="00397985" w:rsidRDefault="00397985" w:rsidP="00397985">
      <w:pPr>
        <w:pStyle w:val="1"/>
        <w:spacing w:line="360" w:lineRule="auto"/>
        <w:ind w:firstLineChars="0" w:firstLine="0"/>
        <w:rPr>
          <w:rFonts w:ascii="宋体" w:hAnsi="宋体"/>
          <w:bCs/>
          <w:szCs w:val="21"/>
        </w:rPr>
      </w:pPr>
    </w:p>
    <w:p w:rsidR="00397985" w:rsidRDefault="00397985" w:rsidP="00397985">
      <w:pPr>
        <w:pStyle w:val="1"/>
        <w:spacing w:line="360" w:lineRule="auto"/>
        <w:ind w:firstLineChars="0" w:firstLine="0"/>
        <w:jc w:val="center"/>
        <w:rPr>
          <w:rFonts w:ascii="宋体"/>
          <w:bCs/>
          <w:szCs w:val="21"/>
        </w:rPr>
      </w:pPr>
      <w:r>
        <w:rPr>
          <w:rFonts w:ascii="宋体" w:hAnsi="宋体" w:hint="eastAsia"/>
          <w:bCs/>
          <w:szCs w:val="21"/>
        </w:rPr>
        <w:t>重庆农村商业银行内部风险评级说明（供参考）：</w:t>
      </w:r>
    </w:p>
    <w:tbl>
      <w:tblPr>
        <w:tblW w:w="10483" w:type="dxa"/>
        <w:tblInd w:w="-9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620"/>
        <w:gridCol w:w="2160"/>
        <w:gridCol w:w="4576"/>
        <w:gridCol w:w="2127"/>
      </w:tblGrid>
      <w:tr w:rsidR="00397985" w:rsidTr="003A589D">
        <w:trPr>
          <w:cantSplit/>
          <w:trHeight w:val="212"/>
        </w:trPr>
        <w:tc>
          <w:tcPr>
            <w:tcW w:w="10483" w:type="dxa"/>
            <w:gridSpan w:val="4"/>
            <w:tcMar>
              <w:top w:w="15" w:type="dxa"/>
              <w:left w:w="15" w:type="dxa"/>
              <w:bottom w:w="0" w:type="dxa"/>
              <w:right w:w="15" w:type="dxa"/>
            </w:tcMar>
            <w:vAlign w:val="center"/>
          </w:tcPr>
          <w:p w:rsidR="00397985" w:rsidRDefault="00397985" w:rsidP="003A589D">
            <w:pPr>
              <w:widowControl/>
              <w:spacing w:line="360" w:lineRule="auto"/>
              <w:jc w:val="center"/>
              <w:rPr>
                <w:rFonts w:ascii="仿宋" w:eastAsia="仿宋" w:hAnsi="仿宋" w:cs="仿宋_GB2312"/>
                <w:kern w:val="0"/>
                <w:szCs w:val="21"/>
              </w:rPr>
            </w:pPr>
            <w:r>
              <w:rPr>
                <w:rFonts w:ascii="仿宋" w:eastAsia="仿宋" w:hAnsi="仿宋" w:cs="仿宋_GB2312" w:hint="eastAsia"/>
                <w:kern w:val="0"/>
                <w:szCs w:val="21"/>
              </w:rPr>
              <w:t>重庆农村商业银行理财产品内部风险评级</w:t>
            </w:r>
          </w:p>
        </w:tc>
      </w:tr>
      <w:tr w:rsidR="00397985" w:rsidTr="003A589D">
        <w:trPr>
          <w:cantSplit/>
          <w:trHeight w:val="284"/>
        </w:trPr>
        <w:tc>
          <w:tcPr>
            <w:tcW w:w="1620" w:type="dxa"/>
            <w:tcMar>
              <w:top w:w="15" w:type="dxa"/>
              <w:left w:w="15" w:type="dxa"/>
              <w:bottom w:w="0" w:type="dxa"/>
              <w:right w:w="15" w:type="dxa"/>
            </w:tcMar>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风险标识</w:t>
            </w:r>
          </w:p>
        </w:tc>
        <w:tc>
          <w:tcPr>
            <w:tcW w:w="2160"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风险评级</w:t>
            </w:r>
          </w:p>
        </w:tc>
        <w:tc>
          <w:tcPr>
            <w:tcW w:w="4576"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评级说明</w:t>
            </w:r>
          </w:p>
        </w:tc>
        <w:tc>
          <w:tcPr>
            <w:tcW w:w="2127"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适用投资者</w:t>
            </w:r>
          </w:p>
        </w:tc>
      </w:tr>
      <w:tr w:rsidR="00397985" w:rsidTr="003A589D">
        <w:trPr>
          <w:cantSplit/>
          <w:trHeight w:val="284"/>
        </w:trPr>
        <w:tc>
          <w:tcPr>
            <w:tcW w:w="1620" w:type="dxa"/>
            <w:tcMar>
              <w:top w:w="15" w:type="dxa"/>
              <w:left w:w="15" w:type="dxa"/>
              <w:bottom w:w="0" w:type="dxa"/>
              <w:right w:w="15" w:type="dxa"/>
            </w:tcMar>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一级</w:t>
            </w:r>
          </w:p>
        </w:tc>
        <w:tc>
          <w:tcPr>
            <w:tcW w:w="2160"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极低风险</w:t>
            </w:r>
          </w:p>
        </w:tc>
        <w:tc>
          <w:tcPr>
            <w:tcW w:w="4576"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提供本金保护且预期收益不能实现的概率极低。</w:t>
            </w:r>
          </w:p>
        </w:tc>
        <w:tc>
          <w:tcPr>
            <w:tcW w:w="2127"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保守型投资者</w:t>
            </w:r>
          </w:p>
        </w:tc>
      </w:tr>
      <w:tr w:rsidR="00397985" w:rsidTr="003A589D">
        <w:trPr>
          <w:cantSplit/>
          <w:trHeight w:val="284"/>
        </w:trPr>
        <w:tc>
          <w:tcPr>
            <w:tcW w:w="1620" w:type="dxa"/>
            <w:tcMar>
              <w:top w:w="15" w:type="dxa"/>
              <w:left w:w="15" w:type="dxa"/>
              <w:bottom w:w="0" w:type="dxa"/>
              <w:right w:w="15" w:type="dxa"/>
            </w:tcMar>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二级</w:t>
            </w:r>
          </w:p>
        </w:tc>
        <w:tc>
          <w:tcPr>
            <w:tcW w:w="2160"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较低风险</w:t>
            </w:r>
          </w:p>
        </w:tc>
        <w:tc>
          <w:tcPr>
            <w:tcW w:w="4576"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不提供本金保护，但本金亏损的概率极低，业绩比较</w:t>
            </w:r>
            <w:r>
              <w:rPr>
                <w:rFonts w:ascii="仿宋_GB2312" w:eastAsia="仿宋_GB2312" w:hAnsi="仿宋" w:cs="仿宋_GB2312"/>
                <w:kern w:val="0"/>
                <w:szCs w:val="21"/>
              </w:rPr>
              <w:t>基准</w:t>
            </w:r>
            <w:r>
              <w:rPr>
                <w:rFonts w:ascii="仿宋_GB2312" w:eastAsia="仿宋_GB2312" w:hAnsi="仿宋" w:cs="仿宋_GB2312" w:hint="eastAsia"/>
                <w:kern w:val="0"/>
                <w:szCs w:val="21"/>
              </w:rPr>
              <w:t>或预期收益不能实现的概率极低</w:t>
            </w:r>
          </w:p>
        </w:tc>
        <w:tc>
          <w:tcPr>
            <w:tcW w:w="2127"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稳健型投资者</w:t>
            </w:r>
          </w:p>
        </w:tc>
      </w:tr>
      <w:tr w:rsidR="00397985" w:rsidTr="003A589D">
        <w:trPr>
          <w:cantSplit/>
          <w:trHeight w:val="284"/>
        </w:trPr>
        <w:tc>
          <w:tcPr>
            <w:tcW w:w="1620" w:type="dxa"/>
            <w:tcMar>
              <w:top w:w="15" w:type="dxa"/>
              <w:left w:w="15" w:type="dxa"/>
              <w:bottom w:w="0" w:type="dxa"/>
              <w:right w:w="15" w:type="dxa"/>
            </w:tcMar>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三级</w:t>
            </w:r>
          </w:p>
        </w:tc>
        <w:tc>
          <w:tcPr>
            <w:tcW w:w="2160"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中等风险</w:t>
            </w:r>
          </w:p>
        </w:tc>
        <w:tc>
          <w:tcPr>
            <w:tcW w:w="4576"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不提供本金保护，但本金亏损的概率较低，业绩比较</w:t>
            </w:r>
            <w:r>
              <w:rPr>
                <w:rFonts w:ascii="仿宋_GB2312" w:eastAsia="仿宋_GB2312" w:hAnsi="仿宋" w:cs="仿宋_GB2312"/>
                <w:kern w:val="0"/>
                <w:szCs w:val="21"/>
              </w:rPr>
              <w:t>基准</w:t>
            </w:r>
            <w:r>
              <w:rPr>
                <w:rFonts w:ascii="仿宋_GB2312" w:eastAsia="仿宋_GB2312" w:hAnsi="仿宋" w:cs="仿宋_GB2312" w:hint="eastAsia"/>
                <w:kern w:val="0"/>
                <w:szCs w:val="21"/>
              </w:rPr>
              <w:t>或预期收益实现存在一定的不确定性</w:t>
            </w:r>
          </w:p>
        </w:tc>
        <w:tc>
          <w:tcPr>
            <w:tcW w:w="2127"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平衡型投资者</w:t>
            </w:r>
          </w:p>
        </w:tc>
      </w:tr>
      <w:tr w:rsidR="00397985" w:rsidTr="003A589D">
        <w:trPr>
          <w:cantSplit/>
          <w:trHeight w:val="284"/>
        </w:trPr>
        <w:tc>
          <w:tcPr>
            <w:tcW w:w="1620" w:type="dxa"/>
            <w:tcMar>
              <w:top w:w="15" w:type="dxa"/>
              <w:left w:w="15" w:type="dxa"/>
              <w:bottom w:w="0" w:type="dxa"/>
              <w:right w:w="15" w:type="dxa"/>
            </w:tcMar>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四级</w:t>
            </w:r>
          </w:p>
        </w:tc>
        <w:tc>
          <w:tcPr>
            <w:tcW w:w="2160"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中高风险</w:t>
            </w:r>
          </w:p>
        </w:tc>
        <w:tc>
          <w:tcPr>
            <w:tcW w:w="4576"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不提供本金保护，且本金亏损概率较高的产品，业绩比较</w:t>
            </w:r>
            <w:r>
              <w:rPr>
                <w:rFonts w:ascii="仿宋_GB2312" w:eastAsia="仿宋_GB2312" w:hAnsi="仿宋" w:cs="仿宋_GB2312"/>
                <w:kern w:val="0"/>
                <w:szCs w:val="21"/>
              </w:rPr>
              <w:t>基准</w:t>
            </w:r>
            <w:r>
              <w:rPr>
                <w:rFonts w:ascii="仿宋_GB2312" w:eastAsia="仿宋_GB2312" w:hAnsi="仿宋" w:cs="仿宋_GB2312" w:hint="eastAsia"/>
                <w:kern w:val="0"/>
                <w:szCs w:val="21"/>
              </w:rPr>
              <w:t>或预期收益实现的不确定性较大。</w:t>
            </w:r>
          </w:p>
        </w:tc>
        <w:tc>
          <w:tcPr>
            <w:tcW w:w="2127"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积极型投资者</w:t>
            </w:r>
          </w:p>
        </w:tc>
      </w:tr>
      <w:tr w:rsidR="00397985" w:rsidTr="003A589D">
        <w:trPr>
          <w:cantSplit/>
          <w:trHeight w:val="284"/>
        </w:trPr>
        <w:tc>
          <w:tcPr>
            <w:tcW w:w="1620" w:type="dxa"/>
            <w:tcMar>
              <w:top w:w="15" w:type="dxa"/>
              <w:left w:w="15" w:type="dxa"/>
              <w:bottom w:w="0" w:type="dxa"/>
              <w:right w:w="15" w:type="dxa"/>
            </w:tcMar>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五级</w:t>
            </w:r>
          </w:p>
        </w:tc>
        <w:tc>
          <w:tcPr>
            <w:tcW w:w="2160"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高风险</w:t>
            </w:r>
          </w:p>
        </w:tc>
        <w:tc>
          <w:tcPr>
            <w:tcW w:w="4576"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不提供本金保护，且本金亏损概率高，业绩比较</w:t>
            </w:r>
            <w:r>
              <w:rPr>
                <w:rFonts w:ascii="仿宋_GB2312" w:eastAsia="仿宋_GB2312" w:hAnsi="仿宋" w:cs="仿宋_GB2312"/>
                <w:kern w:val="0"/>
                <w:szCs w:val="21"/>
              </w:rPr>
              <w:t>基准</w:t>
            </w:r>
            <w:r>
              <w:rPr>
                <w:rFonts w:ascii="仿宋_GB2312" w:eastAsia="仿宋_GB2312" w:hAnsi="仿宋" w:cs="仿宋_GB2312" w:hint="eastAsia"/>
                <w:kern w:val="0"/>
                <w:szCs w:val="21"/>
              </w:rPr>
              <w:t>或预期收益实现的不确定性大。</w:t>
            </w:r>
          </w:p>
        </w:tc>
        <w:tc>
          <w:tcPr>
            <w:tcW w:w="2127" w:type="dxa"/>
            <w:vAlign w:val="center"/>
          </w:tcPr>
          <w:p w:rsidR="00397985" w:rsidRDefault="00397985" w:rsidP="003A589D">
            <w:pPr>
              <w:widowControl/>
              <w:spacing w:line="360" w:lineRule="auto"/>
              <w:jc w:val="center"/>
              <w:rPr>
                <w:rFonts w:ascii="仿宋_GB2312" w:eastAsia="仿宋_GB2312" w:hAnsi="仿宋" w:cs="仿宋_GB2312"/>
                <w:kern w:val="0"/>
                <w:szCs w:val="21"/>
              </w:rPr>
            </w:pPr>
            <w:r>
              <w:rPr>
                <w:rFonts w:ascii="仿宋_GB2312" w:eastAsia="仿宋_GB2312" w:hAnsi="仿宋" w:cs="仿宋_GB2312" w:hint="eastAsia"/>
                <w:kern w:val="0"/>
                <w:szCs w:val="21"/>
              </w:rPr>
              <w:t>激进型投资者</w:t>
            </w:r>
          </w:p>
        </w:tc>
      </w:tr>
    </w:tbl>
    <w:p w:rsidR="00397985" w:rsidRDefault="00397985" w:rsidP="00397985">
      <w:pPr>
        <w:pStyle w:val="1"/>
        <w:spacing w:line="360" w:lineRule="auto"/>
        <w:ind w:left="420"/>
        <w:rPr>
          <w:rFonts w:ascii="宋体"/>
          <w:bCs/>
          <w:szCs w:val="21"/>
        </w:rPr>
      </w:pPr>
    </w:p>
    <w:p w:rsidR="00397985" w:rsidRDefault="00397985" w:rsidP="00397985">
      <w:pPr>
        <w:ind w:left="540"/>
        <w:jc w:val="right"/>
        <w:rPr>
          <w:rFonts w:ascii="宋体"/>
          <w:szCs w:val="21"/>
        </w:rPr>
      </w:pPr>
    </w:p>
    <w:p w:rsidR="00397985" w:rsidRDefault="00397985" w:rsidP="00397985">
      <w:pPr>
        <w:ind w:left="540"/>
        <w:jc w:val="right"/>
        <w:rPr>
          <w:rFonts w:ascii="宋体"/>
          <w:szCs w:val="21"/>
        </w:rPr>
      </w:pPr>
      <w:r>
        <w:rPr>
          <w:rFonts w:ascii="宋体" w:hAnsi="宋体" w:hint="eastAsia"/>
          <w:szCs w:val="21"/>
        </w:rPr>
        <w:t>风险提示方：重庆农村商业银行股份有限公司</w:t>
      </w:r>
    </w:p>
    <w:p w:rsidR="00397985" w:rsidRDefault="00397985" w:rsidP="00397985"/>
    <w:p w:rsidR="00397985" w:rsidRDefault="00397985"/>
    <w:sectPr w:rsidR="00397985" w:rsidSect="009D6BA2">
      <w:footerReference w:type="even"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3C8B" w:rsidRDefault="004E3C8B" w:rsidP="009D6BA2">
      <w:r>
        <w:separator/>
      </w:r>
    </w:p>
  </w:endnote>
  <w:endnote w:type="continuationSeparator" w:id="0">
    <w:p w:rsidR="004E3C8B" w:rsidRDefault="004E3C8B" w:rsidP="009D6B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altName w:val="hakuyoxingshu7000"/>
    <w:charset w:val="86"/>
    <w:family w:val="auto"/>
    <w:pitch w:val="variable"/>
    <w:sig w:usb0="00000000"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8"/>
      </w:rPr>
      <w:id w:val="1325464554"/>
    </w:sdtPr>
    <w:sdtContent>
      <w:p w:rsidR="009D6BA2" w:rsidRDefault="009D6BA2">
        <w:pPr>
          <w:pStyle w:val="a5"/>
          <w:framePr w:wrap="around" w:vAnchor="text" w:hAnchor="margin" w:xAlign="center" w:y="1"/>
          <w:rPr>
            <w:rStyle w:val="a8"/>
          </w:rPr>
        </w:pPr>
        <w:r>
          <w:rPr>
            <w:rStyle w:val="a8"/>
          </w:rPr>
          <w:fldChar w:fldCharType="begin"/>
        </w:r>
        <w:r w:rsidR="004E3C8B">
          <w:rPr>
            <w:rStyle w:val="a8"/>
          </w:rPr>
          <w:instrText xml:space="preserve"> PAGE </w:instrText>
        </w:r>
        <w:r>
          <w:rPr>
            <w:rStyle w:val="a8"/>
          </w:rPr>
          <w:fldChar w:fldCharType="end"/>
        </w:r>
      </w:p>
    </w:sdtContent>
  </w:sdt>
  <w:p w:rsidR="009D6BA2" w:rsidRDefault="009D6BA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8"/>
      </w:rPr>
      <w:id w:val="-1425798789"/>
    </w:sdtPr>
    <w:sdtContent>
      <w:p w:rsidR="009D6BA2" w:rsidRDefault="009D6BA2">
        <w:pPr>
          <w:pStyle w:val="a5"/>
          <w:framePr w:wrap="around" w:vAnchor="text" w:hAnchor="margin" w:xAlign="center" w:y="1"/>
          <w:rPr>
            <w:rStyle w:val="a8"/>
          </w:rPr>
        </w:pPr>
        <w:r>
          <w:rPr>
            <w:rStyle w:val="a8"/>
          </w:rPr>
          <w:fldChar w:fldCharType="begin"/>
        </w:r>
        <w:r w:rsidR="004E3C8B">
          <w:rPr>
            <w:rStyle w:val="a8"/>
          </w:rPr>
          <w:instrText xml:space="preserve"> PAGE </w:instrText>
        </w:r>
        <w:r>
          <w:rPr>
            <w:rStyle w:val="a8"/>
          </w:rPr>
          <w:fldChar w:fldCharType="separate"/>
        </w:r>
        <w:r w:rsidR="00397985">
          <w:rPr>
            <w:rStyle w:val="a8"/>
            <w:noProof/>
          </w:rPr>
          <w:t>8</w:t>
        </w:r>
        <w:r>
          <w:rPr>
            <w:rStyle w:val="a8"/>
          </w:rPr>
          <w:fldChar w:fldCharType="end"/>
        </w:r>
      </w:p>
    </w:sdtContent>
  </w:sdt>
  <w:p w:rsidR="009D6BA2" w:rsidRDefault="009D6BA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3C8B" w:rsidRDefault="004E3C8B" w:rsidP="009D6BA2">
      <w:r>
        <w:separator/>
      </w:r>
    </w:p>
  </w:footnote>
  <w:footnote w:type="continuationSeparator" w:id="0">
    <w:p w:rsidR="004E3C8B" w:rsidRDefault="004E3C8B" w:rsidP="009D6B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1460D8"/>
    <w:multiLevelType w:val="multilevel"/>
    <w:tmpl w:val="201460D8"/>
    <w:lvl w:ilvl="0">
      <w:start w:val="1"/>
      <w:numFmt w:val="decimal"/>
      <w:lvlText w:val="%1、"/>
      <w:lvlJc w:val="left"/>
      <w:pPr>
        <w:ind w:left="1080" w:hanging="360"/>
      </w:pPr>
      <w:rPr>
        <w:rFonts w:hint="default"/>
        <w:b/>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
    <w:nsid w:val="6AC01F57"/>
    <w:multiLevelType w:val="multilevel"/>
    <w:tmpl w:val="6AC01F57"/>
    <w:lvl w:ilvl="0">
      <w:start w:val="1"/>
      <w:numFmt w:val="japaneseCounting"/>
      <w:lvlText w:val="%1、"/>
      <w:lvlJc w:val="left"/>
      <w:pPr>
        <w:tabs>
          <w:tab w:val="left" w:pos="420"/>
        </w:tabs>
        <w:ind w:left="420" w:hanging="420"/>
      </w:pPr>
      <w:rPr>
        <w:rFonts w:cs="Times New Roman" w:hint="default"/>
        <w:b w:val="0"/>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420"/>
  <w:drawingGridVerticalSpacing w:val="156"/>
  <w:noPunctuationKerning/>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E6705C"/>
    <w:rsid w:val="00065F3D"/>
    <w:rsid w:val="0008679C"/>
    <w:rsid w:val="0009267F"/>
    <w:rsid w:val="000A1546"/>
    <w:rsid w:val="000B3440"/>
    <w:rsid w:val="000B3502"/>
    <w:rsid w:val="000B4975"/>
    <w:rsid w:val="00102D0A"/>
    <w:rsid w:val="0011183D"/>
    <w:rsid w:val="001220F1"/>
    <w:rsid w:val="001302CD"/>
    <w:rsid w:val="001341CE"/>
    <w:rsid w:val="001373F7"/>
    <w:rsid w:val="001541D1"/>
    <w:rsid w:val="0015644A"/>
    <w:rsid w:val="00164905"/>
    <w:rsid w:val="001672F0"/>
    <w:rsid w:val="00172C7C"/>
    <w:rsid w:val="00172E5B"/>
    <w:rsid w:val="0017403B"/>
    <w:rsid w:val="001764AB"/>
    <w:rsid w:val="0018114B"/>
    <w:rsid w:val="00196BD5"/>
    <w:rsid w:val="001A6CDF"/>
    <w:rsid w:val="001B2EA6"/>
    <w:rsid w:val="001D4205"/>
    <w:rsid w:val="001D60EC"/>
    <w:rsid w:val="001D7B51"/>
    <w:rsid w:val="001E4E7A"/>
    <w:rsid w:val="00211864"/>
    <w:rsid w:val="00212CFF"/>
    <w:rsid w:val="0021543D"/>
    <w:rsid w:val="002349E2"/>
    <w:rsid w:val="00240F21"/>
    <w:rsid w:val="00261C4E"/>
    <w:rsid w:val="00263147"/>
    <w:rsid w:val="002636C4"/>
    <w:rsid w:val="0027748E"/>
    <w:rsid w:val="002A6685"/>
    <w:rsid w:val="002B275D"/>
    <w:rsid w:val="002B6669"/>
    <w:rsid w:val="002D04A0"/>
    <w:rsid w:val="0034388B"/>
    <w:rsid w:val="003442C6"/>
    <w:rsid w:val="00345DB6"/>
    <w:rsid w:val="003664C9"/>
    <w:rsid w:val="00371694"/>
    <w:rsid w:val="00377DEE"/>
    <w:rsid w:val="00383D17"/>
    <w:rsid w:val="0038790F"/>
    <w:rsid w:val="00390200"/>
    <w:rsid w:val="00396E51"/>
    <w:rsid w:val="00397985"/>
    <w:rsid w:val="003A0441"/>
    <w:rsid w:val="003C0332"/>
    <w:rsid w:val="003E444D"/>
    <w:rsid w:val="003F08D5"/>
    <w:rsid w:val="003F27B9"/>
    <w:rsid w:val="0040660A"/>
    <w:rsid w:val="0041362A"/>
    <w:rsid w:val="00421525"/>
    <w:rsid w:val="00432C72"/>
    <w:rsid w:val="0044553C"/>
    <w:rsid w:val="00452D72"/>
    <w:rsid w:val="00457EF7"/>
    <w:rsid w:val="004603A7"/>
    <w:rsid w:val="00461C56"/>
    <w:rsid w:val="00461DE1"/>
    <w:rsid w:val="004649B4"/>
    <w:rsid w:val="00471C02"/>
    <w:rsid w:val="00495846"/>
    <w:rsid w:val="004D16CF"/>
    <w:rsid w:val="004D378C"/>
    <w:rsid w:val="004D3F8B"/>
    <w:rsid w:val="004E2376"/>
    <w:rsid w:val="004E3C8B"/>
    <w:rsid w:val="0050231D"/>
    <w:rsid w:val="00511761"/>
    <w:rsid w:val="0051579E"/>
    <w:rsid w:val="00530F51"/>
    <w:rsid w:val="00532CAC"/>
    <w:rsid w:val="005556B6"/>
    <w:rsid w:val="00562CB5"/>
    <w:rsid w:val="00574013"/>
    <w:rsid w:val="0058538B"/>
    <w:rsid w:val="00591FA8"/>
    <w:rsid w:val="005B0DD2"/>
    <w:rsid w:val="005B107E"/>
    <w:rsid w:val="005B1765"/>
    <w:rsid w:val="005B38F8"/>
    <w:rsid w:val="005B67D2"/>
    <w:rsid w:val="005C15C9"/>
    <w:rsid w:val="005C3096"/>
    <w:rsid w:val="005F7084"/>
    <w:rsid w:val="00600D26"/>
    <w:rsid w:val="006176A5"/>
    <w:rsid w:val="00621FE5"/>
    <w:rsid w:val="00645364"/>
    <w:rsid w:val="006A0DA3"/>
    <w:rsid w:val="006B0AE6"/>
    <w:rsid w:val="006C2DC2"/>
    <w:rsid w:val="006C6556"/>
    <w:rsid w:val="006C6581"/>
    <w:rsid w:val="006C68AE"/>
    <w:rsid w:val="006E0BD4"/>
    <w:rsid w:val="006F7065"/>
    <w:rsid w:val="007064B2"/>
    <w:rsid w:val="0075008C"/>
    <w:rsid w:val="00754D11"/>
    <w:rsid w:val="00755F8C"/>
    <w:rsid w:val="007637D7"/>
    <w:rsid w:val="00766E65"/>
    <w:rsid w:val="00767188"/>
    <w:rsid w:val="00780EDD"/>
    <w:rsid w:val="00781981"/>
    <w:rsid w:val="00781A6F"/>
    <w:rsid w:val="007953BA"/>
    <w:rsid w:val="007A2459"/>
    <w:rsid w:val="007A7296"/>
    <w:rsid w:val="007B398E"/>
    <w:rsid w:val="007B7EB3"/>
    <w:rsid w:val="007D25EA"/>
    <w:rsid w:val="007D53FC"/>
    <w:rsid w:val="007D6806"/>
    <w:rsid w:val="007E0C43"/>
    <w:rsid w:val="007E270B"/>
    <w:rsid w:val="0080628A"/>
    <w:rsid w:val="00812742"/>
    <w:rsid w:val="008303EF"/>
    <w:rsid w:val="00833571"/>
    <w:rsid w:val="00836E3F"/>
    <w:rsid w:val="008462EC"/>
    <w:rsid w:val="00863D5D"/>
    <w:rsid w:val="00873F50"/>
    <w:rsid w:val="00880A14"/>
    <w:rsid w:val="00886A3E"/>
    <w:rsid w:val="00892031"/>
    <w:rsid w:val="008945D5"/>
    <w:rsid w:val="00895C38"/>
    <w:rsid w:val="008A358F"/>
    <w:rsid w:val="008C0478"/>
    <w:rsid w:val="008C1E67"/>
    <w:rsid w:val="008C47BD"/>
    <w:rsid w:val="008C484D"/>
    <w:rsid w:val="008C7BD6"/>
    <w:rsid w:val="008F2341"/>
    <w:rsid w:val="008F613D"/>
    <w:rsid w:val="00906F97"/>
    <w:rsid w:val="009075F0"/>
    <w:rsid w:val="0090765B"/>
    <w:rsid w:val="0091173A"/>
    <w:rsid w:val="009173B4"/>
    <w:rsid w:val="00934A67"/>
    <w:rsid w:val="009359A0"/>
    <w:rsid w:val="00935D1A"/>
    <w:rsid w:val="009424D2"/>
    <w:rsid w:val="009450BB"/>
    <w:rsid w:val="009522F0"/>
    <w:rsid w:val="00965C02"/>
    <w:rsid w:val="0097194C"/>
    <w:rsid w:val="009826CE"/>
    <w:rsid w:val="0098285D"/>
    <w:rsid w:val="00983EB5"/>
    <w:rsid w:val="009875EA"/>
    <w:rsid w:val="009B14F1"/>
    <w:rsid w:val="009C7E46"/>
    <w:rsid w:val="009D28E0"/>
    <w:rsid w:val="009D6BA2"/>
    <w:rsid w:val="009E788C"/>
    <w:rsid w:val="00A06A0B"/>
    <w:rsid w:val="00A06CBE"/>
    <w:rsid w:val="00A13A8A"/>
    <w:rsid w:val="00A16A4C"/>
    <w:rsid w:val="00A50630"/>
    <w:rsid w:val="00A82FFF"/>
    <w:rsid w:val="00A875E1"/>
    <w:rsid w:val="00AB6D2F"/>
    <w:rsid w:val="00AD15FB"/>
    <w:rsid w:val="00AD6FBD"/>
    <w:rsid w:val="00AF24AE"/>
    <w:rsid w:val="00AF6404"/>
    <w:rsid w:val="00B04E75"/>
    <w:rsid w:val="00B11FB3"/>
    <w:rsid w:val="00B203BE"/>
    <w:rsid w:val="00B34520"/>
    <w:rsid w:val="00B42051"/>
    <w:rsid w:val="00B47EFD"/>
    <w:rsid w:val="00B50225"/>
    <w:rsid w:val="00B5184D"/>
    <w:rsid w:val="00B57235"/>
    <w:rsid w:val="00B613B3"/>
    <w:rsid w:val="00B628E4"/>
    <w:rsid w:val="00B63DD0"/>
    <w:rsid w:val="00B709E4"/>
    <w:rsid w:val="00B80480"/>
    <w:rsid w:val="00B84698"/>
    <w:rsid w:val="00B97C51"/>
    <w:rsid w:val="00BA699E"/>
    <w:rsid w:val="00BB356D"/>
    <w:rsid w:val="00BB6C00"/>
    <w:rsid w:val="00BD5BBB"/>
    <w:rsid w:val="00C054DC"/>
    <w:rsid w:val="00C11A54"/>
    <w:rsid w:val="00C15D5D"/>
    <w:rsid w:val="00C22FD2"/>
    <w:rsid w:val="00C34467"/>
    <w:rsid w:val="00C4096C"/>
    <w:rsid w:val="00C44BCA"/>
    <w:rsid w:val="00C454EA"/>
    <w:rsid w:val="00C54EF6"/>
    <w:rsid w:val="00C579D5"/>
    <w:rsid w:val="00C77FDA"/>
    <w:rsid w:val="00C85C3C"/>
    <w:rsid w:val="00C93E1C"/>
    <w:rsid w:val="00CA4161"/>
    <w:rsid w:val="00CB5A88"/>
    <w:rsid w:val="00CB68DC"/>
    <w:rsid w:val="00CC6370"/>
    <w:rsid w:val="00CE1D63"/>
    <w:rsid w:val="00CE33A2"/>
    <w:rsid w:val="00CF06E5"/>
    <w:rsid w:val="00D12AC1"/>
    <w:rsid w:val="00D31434"/>
    <w:rsid w:val="00D40A74"/>
    <w:rsid w:val="00D54F62"/>
    <w:rsid w:val="00D65DF4"/>
    <w:rsid w:val="00D726FA"/>
    <w:rsid w:val="00D81537"/>
    <w:rsid w:val="00D901DE"/>
    <w:rsid w:val="00DA5886"/>
    <w:rsid w:val="00DA5FE5"/>
    <w:rsid w:val="00DA67D6"/>
    <w:rsid w:val="00DB0B61"/>
    <w:rsid w:val="00DB393E"/>
    <w:rsid w:val="00DC2205"/>
    <w:rsid w:val="00DD32B2"/>
    <w:rsid w:val="00DD7474"/>
    <w:rsid w:val="00DF6722"/>
    <w:rsid w:val="00E032A4"/>
    <w:rsid w:val="00E07747"/>
    <w:rsid w:val="00E4442D"/>
    <w:rsid w:val="00E56866"/>
    <w:rsid w:val="00E6705C"/>
    <w:rsid w:val="00E97E42"/>
    <w:rsid w:val="00EA4AD2"/>
    <w:rsid w:val="00EA6650"/>
    <w:rsid w:val="00EC76B7"/>
    <w:rsid w:val="00F1742C"/>
    <w:rsid w:val="00F17E56"/>
    <w:rsid w:val="00F31701"/>
    <w:rsid w:val="00F34731"/>
    <w:rsid w:val="00F350DB"/>
    <w:rsid w:val="00F44642"/>
    <w:rsid w:val="00F5757A"/>
    <w:rsid w:val="00F6082F"/>
    <w:rsid w:val="00F63BED"/>
    <w:rsid w:val="00F65C25"/>
    <w:rsid w:val="00F7028E"/>
    <w:rsid w:val="00F714D6"/>
    <w:rsid w:val="00FD0DC5"/>
    <w:rsid w:val="00FD592C"/>
    <w:rsid w:val="5D5B671E"/>
    <w:rsid w:val="6BDD6412"/>
    <w:rsid w:val="78B265A2"/>
    <w:rsid w:val="7E9329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Body Text Indent 3" w:semiHidden="0" w:uiPriority="0" w:unhideWhenUsed="0" w:qFormat="1"/>
    <w:lsdException w:name="Hyperlink" w:qFormat="1"/>
    <w:lsdException w:name="Strong" w:semiHidden="0" w:uiPriority="22" w:unhideWhenUsed="0" w:qFormat="1"/>
    <w:lsdException w:name="Emphasis" w:semiHidden="0" w:uiPriority="20" w:unhideWhenUsed="0"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BA2"/>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9D6BA2"/>
    <w:pPr>
      <w:jc w:val="left"/>
    </w:pPr>
  </w:style>
  <w:style w:type="paragraph" w:styleId="a4">
    <w:name w:val="Balloon Text"/>
    <w:basedOn w:val="a"/>
    <w:link w:val="Char0"/>
    <w:uiPriority w:val="99"/>
    <w:unhideWhenUsed/>
    <w:qFormat/>
    <w:rsid w:val="009D6BA2"/>
    <w:rPr>
      <w:sz w:val="18"/>
      <w:szCs w:val="18"/>
    </w:rPr>
  </w:style>
  <w:style w:type="paragraph" w:styleId="a5">
    <w:name w:val="footer"/>
    <w:basedOn w:val="a"/>
    <w:link w:val="Char1"/>
    <w:uiPriority w:val="99"/>
    <w:unhideWhenUsed/>
    <w:qFormat/>
    <w:rsid w:val="009D6BA2"/>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9D6BA2"/>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qFormat/>
    <w:rsid w:val="009D6BA2"/>
    <w:pPr>
      <w:ind w:firstLine="420"/>
    </w:pPr>
    <w:rPr>
      <w:rFonts w:ascii="宋体" w:hAnsi="宋体"/>
      <w:kern w:val="0"/>
      <w:sz w:val="20"/>
    </w:rPr>
  </w:style>
  <w:style w:type="paragraph" w:styleId="a7">
    <w:name w:val="annotation subject"/>
    <w:basedOn w:val="a3"/>
    <w:next w:val="a3"/>
    <w:link w:val="Char3"/>
    <w:uiPriority w:val="99"/>
    <w:unhideWhenUsed/>
    <w:qFormat/>
    <w:rsid w:val="009D6BA2"/>
    <w:rPr>
      <w:b/>
      <w:bCs/>
    </w:rPr>
  </w:style>
  <w:style w:type="character" w:styleId="a8">
    <w:name w:val="page number"/>
    <w:basedOn w:val="a0"/>
    <w:uiPriority w:val="99"/>
    <w:unhideWhenUsed/>
    <w:qFormat/>
    <w:rsid w:val="009D6BA2"/>
  </w:style>
  <w:style w:type="character" w:styleId="a9">
    <w:name w:val="Emphasis"/>
    <w:basedOn w:val="a0"/>
    <w:uiPriority w:val="20"/>
    <w:qFormat/>
    <w:rsid w:val="009D6BA2"/>
    <w:rPr>
      <w:i/>
    </w:rPr>
  </w:style>
  <w:style w:type="character" w:styleId="aa">
    <w:name w:val="annotation reference"/>
    <w:basedOn w:val="a0"/>
    <w:uiPriority w:val="99"/>
    <w:unhideWhenUsed/>
    <w:rsid w:val="009D6BA2"/>
    <w:rPr>
      <w:sz w:val="21"/>
      <w:szCs w:val="21"/>
    </w:rPr>
  </w:style>
  <w:style w:type="character" w:customStyle="1" w:styleId="3Char">
    <w:name w:val="正文文本缩进 3 Char"/>
    <w:basedOn w:val="a0"/>
    <w:link w:val="3"/>
    <w:qFormat/>
    <w:rsid w:val="009D6BA2"/>
    <w:rPr>
      <w:rFonts w:ascii="宋体" w:eastAsia="宋体" w:hAnsi="宋体" w:cs="Times New Roman"/>
      <w:kern w:val="0"/>
      <w:sz w:val="20"/>
      <w:szCs w:val="20"/>
    </w:rPr>
  </w:style>
  <w:style w:type="character" w:customStyle="1" w:styleId="Char2">
    <w:name w:val="页眉 Char"/>
    <w:basedOn w:val="a0"/>
    <w:link w:val="a6"/>
    <w:uiPriority w:val="99"/>
    <w:qFormat/>
    <w:rsid w:val="009D6BA2"/>
    <w:rPr>
      <w:rFonts w:ascii="Times New Roman" w:eastAsia="宋体" w:hAnsi="Times New Roman" w:cs="Times New Roman"/>
      <w:sz w:val="18"/>
      <w:szCs w:val="18"/>
    </w:rPr>
  </w:style>
  <w:style w:type="character" w:customStyle="1" w:styleId="Char1">
    <w:name w:val="页脚 Char"/>
    <w:basedOn w:val="a0"/>
    <w:link w:val="a5"/>
    <w:uiPriority w:val="99"/>
    <w:qFormat/>
    <w:rsid w:val="009D6BA2"/>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sid w:val="009D6BA2"/>
    <w:rPr>
      <w:rFonts w:ascii="Times New Roman" w:eastAsia="宋体" w:hAnsi="Times New Roman" w:cs="Times New Roman"/>
      <w:sz w:val="18"/>
      <w:szCs w:val="18"/>
    </w:rPr>
  </w:style>
  <w:style w:type="character" w:customStyle="1" w:styleId="Char">
    <w:name w:val="批注文字 Char"/>
    <w:basedOn w:val="a0"/>
    <w:link w:val="a3"/>
    <w:uiPriority w:val="99"/>
    <w:semiHidden/>
    <w:qFormat/>
    <w:rsid w:val="009D6BA2"/>
    <w:rPr>
      <w:rFonts w:ascii="Times New Roman" w:eastAsia="宋体" w:hAnsi="Times New Roman" w:cs="Times New Roman"/>
      <w:szCs w:val="20"/>
    </w:rPr>
  </w:style>
  <w:style w:type="character" w:customStyle="1" w:styleId="Char3">
    <w:name w:val="批注主题 Char"/>
    <w:basedOn w:val="Char"/>
    <w:link w:val="a7"/>
    <w:uiPriority w:val="99"/>
    <w:semiHidden/>
    <w:qFormat/>
    <w:rsid w:val="009D6BA2"/>
    <w:rPr>
      <w:rFonts w:ascii="Times New Roman" w:eastAsia="宋体" w:hAnsi="Times New Roman" w:cs="Times New Roman"/>
      <w:b/>
      <w:bCs/>
      <w:szCs w:val="20"/>
    </w:rPr>
  </w:style>
  <w:style w:type="character" w:styleId="ab">
    <w:name w:val="Hyperlink"/>
    <w:basedOn w:val="a0"/>
    <w:uiPriority w:val="99"/>
    <w:qFormat/>
    <w:rsid w:val="00397985"/>
    <w:rPr>
      <w:rFonts w:cs="Times New Roman"/>
      <w:color w:val="0000FF"/>
      <w:u w:val="single"/>
    </w:rPr>
  </w:style>
  <w:style w:type="paragraph" w:customStyle="1" w:styleId="1">
    <w:name w:val="列表段落1"/>
    <w:basedOn w:val="a"/>
    <w:uiPriority w:val="99"/>
    <w:qFormat/>
    <w:rsid w:val="00397985"/>
    <w:pPr>
      <w:ind w:firstLineChars="200" w:firstLine="420"/>
    </w:pPr>
    <w:rPr>
      <w:szCs w:val="24"/>
    </w:rPr>
  </w:style>
  <w:style w:type="paragraph" w:customStyle="1" w:styleId="10">
    <w:name w:val="无间隔1"/>
    <w:uiPriority w:val="99"/>
    <w:qFormat/>
    <w:rsid w:val="00397985"/>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qrcb.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1089</Words>
  <Characters>6211</Characters>
  <Application>Microsoft Office Word</Application>
  <DocSecurity>0</DocSecurity>
  <Lines>51</Lines>
  <Paragraphs>14</Paragraphs>
  <ScaleCrop>false</ScaleCrop>
  <Company>Microsoft</Company>
  <LinksUpToDate>false</LinksUpToDate>
  <CharactersWithSpaces>7286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唐夏军</dc:creator>
  <cp:lastModifiedBy>Administrator</cp:lastModifiedBy>
  <cp:revision>27</cp:revision>
  <cp:lastPrinted>2018-06-07T09:23:00Z</cp:lastPrinted>
  <dcterms:created xsi:type="dcterms:W3CDTF">2018-06-04T02:28:00Z</dcterms:created>
  <dcterms:modified xsi:type="dcterms:W3CDTF">2020-09-07T02:27:00Z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