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2220C">
      <w:pPr>
        <w:spacing w:line="360" w:lineRule="auto"/>
        <w:ind w:firstLine="560" w:firstLineChars="200"/>
        <w:jc w:val="center"/>
        <w:rPr>
          <w:rFonts w:ascii="方正黑体简体" w:eastAsia="方正黑体简体"/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  <w:u/>
        </w:rPr>
        <w:t>关于</w:t>
      </w:r>
      <w:r>
        <w:rPr>
          <w:rFonts w:ascii="方正黑体简体" w:eastAsia="方正黑体简体"/>
          <w:sz w:val="28"/>
          <w:u w:color="auto"/>
        </w:rPr>
        <w:t>南银理财珠联璧合鑫逸稳两年87期封闭式公募人民币理财产品</w:t>
      </w:r>
      <w:r>
        <w:rPr>
          <w:rFonts w:ascii="方正黑体简体" w:eastAsia="方正黑体简体"/>
          <w:sz w:val="28"/>
          <w:u w:color="auto"/>
        </w:rPr>
        <w:t>2026年09月14日</w:t>
      </w:r>
      <w:r>
        <w:rPr>
          <w:rFonts w:hint="eastAsia" w:ascii="方正黑体简体" w:hAnsi="Verdana" w:eastAsia="方正黑体简体" w:cs="Verdana"/>
          <w:sz w:val="28"/>
          <w:szCs w:val="28"/>
          <w:shd w:val="clear" w:color="auto" w:fill="FFFFFF"/>
        </w:rPr>
        <w:t>调整投资非标准化债权类资产</w:t>
      </w:r>
      <w:r>
        <w:rPr>
          <w:rFonts w:hint="eastAsia" w:ascii="方正黑体简体" w:eastAsia="方正黑体简体"/>
          <w:sz w:val="28"/>
          <w:szCs w:val="28"/>
        </w:rPr>
        <w:t>公告</w:t>
      </w:r>
    </w:p>
    <w:p w14:paraId="1D49DB1F">
      <w:pPr>
        <w:spacing w:line="360" w:lineRule="auto"/>
        <w:ind w:firstLine="440" w:firstLineChars="200"/>
        <w:rPr>
          <w:sz w:val="22"/>
        </w:rPr>
      </w:pP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662"/>
      </w:tblGrid>
      <w:tr w14:paraId="772C5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</w:tcPr>
          <w:p w14:paraId="25FE11BC">
            <w:pPr>
              <w:spacing w:line="360" w:lineRule="auto"/>
              <w:jc w:val="center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1、理财产品基本信息</w:t>
            </w:r>
          </w:p>
        </w:tc>
      </w:tr>
      <w:tr w14:paraId="52BE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9E796FD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778D1B9E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南银理财珠联璧合鑫逸稳两年87期封闭式公募人民币理财产品</w:t>
            </w:r>
          </w:p>
        </w:tc>
      </w:tr>
      <w:tr w14:paraId="72C6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20D21BCF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15CC147F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ZZ700322400380</w:t>
            </w:r>
          </w:p>
        </w:tc>
      </w:tr>
      <w:tr w14:paraId="7FE8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16BC143E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22F44A2B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Y60087、Y61087、Y62087</w:t>
            </w:r>
          </w:p>
        </w:tc>
      </w:tr>
      <w:tr w14:paraId="403F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08987FCF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413EF1D4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2024年09月04日</w:t>
            </w:r>
          </w:p>
        </w:tc>
      </w:tr>
      <w:tr w14:paraId="5958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7C12EB6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52E31847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2026年09月11日</w:t>
            </w:r>
          </w:p>
        </w:tc>
      </w:tr>
    </w:tbl>
    <w:p w14:paraId="4DACF232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68813ADE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09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277"/>
        <w:gridCol w:w="1417"/>
        <w:gridCol w:w="1701"/>
        <w:gridCol w:w="1679"/>
        <w:gridCol w:w="1582"/>
        <w:gridCol w:w="1134"/>
        <w:gridCol w:w="1100"/>
      </w:tblGrid>
      <w:tr w14:paraId="608EA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7" w:type="dxa"/>
            <w:gridSpan w:val="8"/>
            <w:tcBorders>
              <w:tl2br w:val="nil"/>
              <w:tr2bl w:val="nil"/>
            </w:tcBorders>
          </w:tcPr>
          <w:p w14:paraId="3B6A029E">
            <w:pPr>
              <w:spacing w:line="360" w:lineRule="auto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2、增加的非标准化资产明细</w:t>
            </w:r>
          </w:p>
        </w:tc>
      </w:tr>
      <w:tr w14:paraId="00163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 w14:paraId="082F33A0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序号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vAlign w:val="center"/>
          </w:tcPr>
          <w:p w14:paraId="0898B0A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2856066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D5DF17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tcBorders>
              <w:tl2br w:val="nil"/>
              <w:tr2bl w:val="nil"/>
            </w:tcBorders>
            <w:vAlign w:val="center"/>
          </w:tcPr>
          <w:p w14:paraId="2079970E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tcBorders>
              <w:tl2br w:val="nil"/>
              <w:tr2bl w:val="nil"/>
            </w:tcBorders>
            <w:vAlign w:val="center"/>
          </w:tcPr>
          <w:p w14:paraId="120B9470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59577C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A8F4E3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风险状况</w:t>
            </w:r>
          </w:p>
        </w:tc>
      </w:tr>
      <w:tr w14:paraId="12C7A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tcBorders>
              <w:tl2br w:val="nil"/>
              <w:tr2bl w:val="nil"/>
            </w:tcBorders>
          </w:tcPr>
          <w:p w14:paraId="67FE7C4B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/>
              </w:rPr>
              <w:t/>
            </w:r>
            <w:r>
              <w:rPr>
                <w:rFonts w:ascii="方正仿宋简体" w:eastAsia="方正仿宋简体"/>
                <w:sz w:val="24"/>
                <w:u w:color="auto"/>
              </w:rPr>
              <w:t>-</w:t>
            </w:r>
          </w:p>
        </w:tc>
        <w:tc>
          <w:tcPr>
            <w:tcW w:w="1277" w:type="dxa"/>
            <w:tcBorders>
              <w:tl2br w:val="nil"/>
              <w:tr2bl w:val="nil"/>
            </w:tcBorders>
          </w:tcPr>
          <w:p w14:paraId="0DC9111F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7D9398D4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l2br w:val="nil"/>
              <w:tr2bl w:val="nil"/>
            </w:tcBorders>
          </w:tcPr>
          <w:p w14:paraId="1C5087D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l2br w:val="nil"/>
              <w:tr2bl w:val="nil"/>
            </w:tcBorders>
          </w:tcPr>
          <w:p w14:paraId="16AF1F18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582" w:type="dxa"/>
            <w:tcBorders>
              <w:tl2br w:val="nil"/>
              <w:tr2bl w:val="nil"/>
            </w:tcBorders>
          </w:tcPr>
          <w:p w14:paraId="65637C10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6F6A672E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l2br w:val="nil"/>
              <w:tr2bl w:val="nil"/>
            </w:tcBorders>
          </w:tcPr>
          <w:p w14:paraId="4A07E8D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</w:tr>
    </w:tbl>
    <w:p w14:paraId="3F74A13D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08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221"/>
        <w:gridCol w:w="1417"/>
        <w:gridCol w:w="1701"/>
        <w:gridCol w:w="1574"/>
        <w:gridCol w:w="1695"/>
        <w:gridCol w:w="1272"/>
        <w:gridCol w:w="955"/>
      </w:tblGrid>
      <w:tr w14:paraId="7DAF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36" w:type="dxa"/>
            <w:gridSpan w:val="8"/>
            <w:tcBorders>
              <w:tl2br w:val="nil"/>
              <w:tr2bl w:val="nil"/>
            </w:tcBorders>
          </w:tcPr>
          <w:p w14:paraId="62AA56F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bookmarkStart w:id="0" w:name="_GoBack"/>
            <w:r>
              <w:rPr>
                <w:rFonts w:hint="eastAsia" w:ascii="方正仿宋简体" w:eastAsia="方正仿宋简体"/>
                <w:sz w:val="24"/>
                <w:szCs w:val="24"/>
              </w:rPr>
              <w:t>3、减少的非标准化资产明细</w:t>
            </w:r>
          </w:p>
        </w:tc>
      </w:tr>
      <w:tr w14:paraId="50625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39A8AE2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序号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vAlign w:val="center"/>
          </w:tcPr>
          <w:p w14:paraId="013ED513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419B582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D97C9C1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tcBorders>
              <w:tl2br w:val="nil"/>
              <w:tr2bl w:val="nil"/>
            </w:tcBorders>
            <w:vAlign w:val="center"/>
          </w:tcPr>
          <w:p w14:paraId="147D1F75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BFBDD7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5523993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14:paraId="050AF23D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风险状况</w:t>
            </w:r>
          </w:p>
        </w:tc>
      </w:tr>
      <w:tr w14:paraId="78346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1" w:type="dxa"/>
            <w:tcBorders>
              <w:tl2br w:val="nil"/>
              <w:tr2bl w:val="nil"/>
            </w:tcBorders>
          </w:tcPr>
          <w:p w14:paraId="55408C58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/>
              </w:rPr>
              <w:t/>
            </w:r>
            <w:r>
              <w:rPr>
                <w:rFonts w:ascii="方正仿宋简体" w:eastAsia="方正仿宋简体"/>
                <w:sz w:val="24"/>
                <w:u w:color="auto"/>
              </w:rPr>
              <w:t>1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 w14:paraId="4E010192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2026年09月11日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58B494A5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靖江市欣城建设发展有限公司</w:t>
            </w:r>
          </w:p>
        </w:tc>
        <w:tc>
          <w:tcPr>
            <w:tcW w:w="1701" w:type="dxa"/>
            <w:tcBorders>
              <w:tl2br w:val="nil"/>
              <w:tr2bl w:val="nil"/>
            </w:tcBorders>
          </w:tcPr>
          <w:p w14:paraId="154C99D2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百瑞恒益1571号集合资金信托计划（鹏南1号）2期</w:t>
            </w:r>
          </w:p>
        </w:tc>
        <w:tc>
          <w:tcPr>
            <w:tcW w:w="1574" w:type="dxa"/>
            <w:tcBorders>
              <w:tl2br w:val="nil"/>
              <w:tr2bl w:val="nil"/>
            </w:tcBorders>
          </w:tcPr>
          <w:p w14:paraId="3DA1EC4D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0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 w14:paraId="750D838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每季一次</w:t>
            </w:r>
          </w:p>
        </w:tc>
        <w:tc>
          <w:tcPr>
            <w:tcW w:w="1272" w:type="dxa"/>
            <w:tcBorders>
              <w:tl2br w:val="nil"/>
              <w:tr2bl w:val="nil"/>
            </w:tcBorders>
          </w:tcPr>
          <w:p w14:paraId="241C42FA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信托贷款</w:t>
            </w:r>
          </w:p>
        </w:tc>
        <w:tc>
          <w:tcPr>
            <w:tcW w:w="955" w:type="dxa"/>
            <w:tcBorders>
              <w:tl2br w:val="nil"/>
              <w:tr2bl w:val="nil"/>
            </w:tcBorders>
          </w:tcPr>
          <w:p w14:paraId="3E97F746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正常</w:t>
            </w:r>
          </w:p>
        </w:tc>
      </w:tr>
      <w:bookmarkEnd w:id="0"/>
    </w:tbl>
    <w:p w14:paraId="12A1E936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313B3A5C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27ABF05D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65AB6CBE">
      <w:pPr>
        <w:spacing w:line="360" w:lineRule="auto"/>
        <w:ind w:firstLine="440" w:firstLineChars="200"/>
        <w:rPr>
          <w:sz w:val="22"/>
        </w:rPr>
      </w:pPr>
    </w:p>
    <w:p w14:paraId="4CFD9FE6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356E9739">
      <w:pPr>
        <w:spacing w:line="360" w:lineRule="auto"/>
        <w:ind w:firstLine="480" w:firstLineChars="200"/>
        <w:rPr>
          <w:sz w:val="22"/>
        </w:rPr>
      </w:pPr>
      <w:r>
        <w:rPr>
          <w:rFonts w:hint="eastAsia" w:ascii="方正仿宋简体" w:eastAsia="方正仿宋简体"/>
          <w:sz w:val="24"/>
          <w:szCs w:val="24"/>
        </w:rPr>
        <w:t>感谢您一直以来的支持和信赖！</w:t>
      </w:r>
    </w:p>
    <w:p w14:paraId="229C68A0">
      <w:pPr>
        <w:pStyle w:val="9"/>
        <w:rPr>
          <w:sz w:val="22"/>
        </w:rPr>
      </w:pPr>
    </w:p>
    <w:p w14:paraId="69A985C0">
      <w:pPr>
        <w:spacing w:line="360" w:lineRule="auto"/>
        <w:ind w:firstLine="480" w:firstLineChars="200"/>
        <w:jc w:val="right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南银理财有限责任公司</w:t>
      </w:r>
    </w:p>
    <w:p w14:paraId="19A31C21">
      <w:pPr>
        <w:spacing w:line="360" w:lineRule="auto"/>
        <w:ind w:firstLine="480" w:firstLineChars="200"/>
        <w:jc w:val="right"/>
        <w:rPr>
          <w:rFonts w:ascii="方正仿宋简体" w:hAnsi="Verdana" w:eastAsia="方正仿宋简体" w:cs="Verdana"/>
          <w:sz w:val="24"/>
          <w:szCs w:val="24"/>
          <w:shd w:val="clear" w:color="auto" w:fill="FFFFFF"/>
        </w:rPr>
      </w:pPr>
      <w:r>
        <w:rPr>
          <w:rFonts w:hint="eastAsia" w:ascii="方正仿宋简体" w:hAnsi="仿宋_GB2312" w:eastAsia="方正仿宋简体" w:cs="仿宋_GB2312"/>
          <w:sz w:val="24"/>
          <w:szCs w:val="24"/>
        </w:rPr>
        <w:t>2026年09月14日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  <w:rsid w:val="12403224"/>
    <w:rsid w:val="1D2F4832"/>
    <w:rsid w:val="1F8947E7"/>
    <w:rsid w:val="2C104FF2"/>
    <w:rsid w:val="4004626D"/>
    <w:rsid w:val="40FB4371"/>
    <w:rsid w:val="4F8E345D"/>
    <w:rsid w:val="56C854A7"/>
    <w:rsid w:val="77A539A7"/>
    <w:rsid w:val="7D755A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引文目录1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460</Words>
  <Characters>479</Characters>
  <Lines>4</Lines>
  <Paragraphs>1</Paragraphs>
  <TotalTime>324</TotalTime>
  <ScaleCrop>false</ScaleCrop>
  <LinksUpToDate>false</LinksUpToDate>
  <CharactersWithSpaces>479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初涛静</cp:lastModifiedBy>
  <dcterms:modified xsi:type="dcterms:W3CDTF">2026-08-17T03:49:33Z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32F934DC406B4AC1954B0B798E223287_13</vt:lpwstr>
  </property>
  <property fmtid="{D5CDD505-2E9C-101B-9397-08002B2CF9AE}" pid="4" name="KSOTemplateDocerSaveRecord">
    <vt:lpwstr>eyJoZGlkIjoiNGVjMGI2NjNiY2NhZDgyYzA5MTcxNzUxOTEzMzRjMGYiLCJ1c2VySWQiOiI5MjY1NDE4MjAifQ==</vt:lpwstr>
  </property>
</Properties>
</file>