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苏银理财恒源日申半年持有1号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2025年三季度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苏银理财恒源日申半年持有1号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2018年08月15日</w:t>
      </w:r>
      <w:r>
        <w:rPr>
          <w:rFonts w:ascii="楷体" w:eastAsia="楷体" w:hAnsi="楷体" w:cs="楷体" w:hint="eastAsia"/>
        </w:rPr>
        <w:t xml:space="preserve">成立，于</w:t>
      </w:r>
      <w:r>
        <w:rPr>
          <w:rFonts w:ascii="楷体" w:eastAsia="楷体" w:hAnsi="楷体" w:cs="楷体" w:hint="eastAsia"/>
          <w:spacing w:val="-7"/>
        </w:rPr>
        <w:t xml:space="preserve">2018年08月15日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苏银理财恒源日申半年持有1号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19,879,182,787.27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22,777,393,410.25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23,235,240,051.53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2025-09-30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1.153980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1.153980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2.00%-3.60%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1.141566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1.141566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2.05%-3.65%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1.143569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1.143569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2.10%-3.70%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1.144315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1.144315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1.146453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1.146453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1.138351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1.138351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2.00%-3.60%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1.145539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1.145539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2.10%-3.70%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1.146173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1.146173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1.146682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1.146682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1.146032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1.146032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2.05%-3.65%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80.96%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6.78%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1,640,774,015.25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24安徽39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537,209,383.55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24陕西20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448,265,163.02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25交通银行CD100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396,638,224.66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304,443,801.84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25中信银行CD110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297,484,534.52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25建设银行CD245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296,835,289.56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24山西25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239,859,847.94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214,671,918.90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24徐州新盛MTN005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204,050,684.93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012582313.IB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25宿迁新城SCP005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406,799,727.00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65,423,434.00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4,444,043.92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29,385,695.39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1,228,922.96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280,400.00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苏银理财恒源日申半年持有1号D</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57,826,663.70</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19,879,182,787.27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22,354,066,410.74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2025年第三季度，债券市场整体上震荡走弱，从估值角度来看30年国债活跃券从1.85%上行28BP至2.13%，10年国债活跃券由1.64%上行14BP至1.78%，期间30年最高触及2.18%，10年触及1.835%。从经济数据角度，三季度的经济数据整体依然呈现生产偏强，需求偏弱格局，已经披露的7、8月多项经济数据显著低于预期，债市并未对经济基本面过多定价。</w:t>
      </w:r>
      <w:r>
        <w:rPr>
          <w:rFonts w:ascii="楷体" w:eastAsia="楷体" w:hAnsi="楷体" w:cs="楷体" w:hint="eastAsia"/>
          <w:spacing w:val="8"/>
          <w:sz w:val="21"/>
        </w:rPr>
        <w:br/>
      </w:r>
      <w:r>
        <w:rPr>
          <w:rFonts w:ascii="楷体" w:eastAsia="楷体" w:hAnsi="楷体" w:cs="楷体" w:hint="eastAsia"/>
          <w:spacing w:val="8"/>
          <w:sz w:val="21"/>
        </w:rPr>
        <w:t xml:space="preserve">    在本报告期内，本产品产品以固收类资产为主，重点配置了流动性好、信用等级高的利率债、中高等级信用债，以获取稳健的票息收入和资本利得。在久期管理方面，产品根据对利率走势的判断，灵活调整组合久期，以平衡收益弹性和利率风险。在信用风险控制方面，产品严格筛选持仓资产的发行主体与底层资产，主动规避了潜在风险较高的行业与企业。</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2025年四季度，债券市场短期情绪仍弱，但中期赔率改善。短期看，债券市场关注点仍在《公开募集证券投资基金销售费用管理规定(征求意见稿)》落地影响。在机构赎回债券基金落地前，市场情绪仍难言提振。中期看，在经历了2025年三季度调整后，债市回到了2024年12月初，中央经济工作会议货币政策“适度宽松”位置;考虑到今年四季度经济基本面有利于债市，叠加适度宽松的货币政策，以及目前期限利差处于2024年以来中位数至3/4分位数之间，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2025年09月30日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738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738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739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739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2025-10-21T10:57:04Z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