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苏银理财恒源1年定开40期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苏银理财恒源1年定开40期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2023年02月07日</w:t>
      </w:r>
      <w:r>
        <w:rPr>
          <w:rFonts w:hint="eastAsia" w:ascii="楷体" w:hAnsi="楷体" w:eastAsia="楷体" w:cs="楷体"/>
        </w:rPr>
        <w:t>成立，于</w:t>
      </w:r>
      <w:r>
        <w:rPr>
          <w:rFonts w:hint="eastAsia" w:ascii="楷体" w:hAnsi="楷体" w:eastAsia="楷体" w:cs="楷体"/>
          <w:spacing w:val="-7"/>
        </w:rPr>
        <w:t>2023年02月07日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苏银理财恒源1年定开40期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Z7003123000022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5,358,884,995.11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5,421,332,697.06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31000188000518418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5,927,130,611.29</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109.33%</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苏银理财恒源1年定开40期D</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1.012032</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1.047434</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2.75%-3.35%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苏银理财恒源1年定开40期F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1.011516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1.04536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苏银理财恒源1年定开40期J</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1.01186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1.046742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苏银理财恒源1年定开40期ZA（自动赎回）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1.011516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1.04536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苏银理财恒源1年定开40期ZF（自动赎回）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1.011517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1.045361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苏银理财恒源1年定开40期ZN（自动赎回）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1.012032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1.012032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苏银理财恒源1年定开40期A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1.011515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1.090344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苏银理财恒源1年定开40期B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1.011618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1.091717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2.63%-3.23%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苏银理财恒源1年定开40期G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1.011688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1.093256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2.65%-3.25%</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23.09%</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69.54%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7.19%</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30.28%</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69.72%</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杭工商信托-玖盈132号-台州循环</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360,561,209.34</w:t>
            </w:r>
          </w:p>
        </w:tc>
        <w:tc>
          <w:tcPr>
            <w:tcW w:w="1800" w:type="dxa"/>
          </w:tcPr>
          <w:p>
            <w:pPr>
              <w:jc w:val="center"/>
              <w:rPr>
                <w:rFonts w:hint="eastAsia" w:ascii="楷体" w:hAnsi="楷体" w:eastAsia="楷体" w:cs="楷体"/>
                <w:sz w:val="22"/>
              </w:rPr>
            </w:pPr>
            <w:r>
              <w:rPr>
                <w:rFonts w:hint="eastAsia" w:ascii="楷体" w:hAnsi="楷体" w:eastAsia="楷体" w:cs="楷体"/>
                <w:sz w:val="22"/>
              </w:rPr>
              <w:t>5.91%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中粮信托-栗泽6号-京东白条取现</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300,201,369.86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中粮信托-栗泽5号-京东金条</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260,529,972.54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中信信托-苏赢53号-淮安高新-1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220,504,864.97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上海信托-张家港高铁</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190,295,558.20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中信信托-惠诚8号-蚂蚁花呗</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181,447,397.63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杭工商信托-玖盈132号-兰溪城投</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180,274,272.79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24农行永续债01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168,322,576.58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华安中证同业存单AAA指数7天持有发起式</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公募基金</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150,994,600.74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25邮储永续债01BC</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138,066,900.97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2.26%</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台州循环经济发展有限公司</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杭工商信托-玖盈132号-台州循环</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266</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360,000,000.00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按季付息到期一次还本</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中粮信托-栗泽6号-京东白条取现</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中粮信托-栗泽5号-京东金条</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253</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260,000,000.00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淮安高新控股有限公司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中信信托-苏赢53号-淮安高新-1</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张家港市高铁投资发展(集团)有限公司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上海信托-张家港高铁</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264</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190,000,000.00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兰溪市城市投资集团有限公司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杭工商信托-玖盈132号-兰溪城投</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266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180,000,000.00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中信信托-惠诚8号-蚂蚁花呗</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180,000,000.00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南京市高淳区建设发展集团有限公司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中信信托-苏赢57号-高淳建发一期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266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130,000,000.00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交银国信-丰产惠利3007号-蚂蚁花呗</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95,000,000.00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泰康资产-元兴1号第4期（抖音小微）-A</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261</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80,000,000.00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投资债权投资计划和资产支持计划</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中信信托-惠诚8号-蚂蚁花呗-第三期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246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60,000,000.00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江苏瑞海投资控股集团有限公司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上海信托-上信瑞海-江苏瑞海</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按半年度付息，到期一次性还本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淮安高新控股有限公司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2011-10-10</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4,000,000,000.00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土地开发整理；市政道路建设；园林绿化建设及养护；商业旅游开发和公共设施建设；房屋租赁；物业管理服务；建筑材料及花卉苗木销售；市政府授权的其他项目经营。（依法须经批准的项目，经相关部门批准的方可开展经营活动）许可项目：各类工程建设活动（依法须经批准的项目，经相关部门批准后方可开展经营活动，具体经营项目以审批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台州循环经济发展有限公司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2011-06-07</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3,490,000,000.00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国有资产经营管理；基础设施建设、房地产开发经营、园林绿化工程施工；物业管理；土石方工程服务；农业种植、水产养殖；非金属矿开采、围垦造地工程石料供应、建筑材料、矿产品（不含煤炭）的销售、砂石料经营管理；普通货物仓储（不含危险化学品和食品）；飞机零件、航空设备制造（需经前置审批的项目除外），电池制造、餐饮服务住宿、酒店管理。兼营其他一切合法业务，其中属于依法应当经批准的项目，取得许可审批文件后方可开展相关经营活动（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bookmarkStart w:id="1" w:name="_GoBack"/>
            <w:bookmarkEnd w:id="1"/>
            <w:r>
              <w:rPr>
                <w:rFonts w:ascii="楷体" w:hAnsi="楷体" w:eastAsia="楷体" w:cs="楷体"/>
                <w:b w:val="0"/>
                <w:i w:val="0"/>
                <w:strike w:val="0"/>
                <w:color w:val="auto"/>
                <w:position w:val="-1"/>
                <w:sz w:val="22"/>
                <w:u w:val="none"/>
              </w:rPr>
              <w:t>张家港市高铁投资发展(集团)有限公司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2016-10-19</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3,500,000,000.00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实业投资、开发；城乡一体化投资、开发、收益；房地产开发经营；区域环境治理；配套基础设施建设；城市基础建设与管理；物业管理服务；自有房屋租赁；展览展示服务；建材、日用品、纺织原料、工艺品、苗木购销。（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兰溪市城市投资集团有限公司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2009-01-15</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对城市基础设施建设项目的投资和管理、经营管理、资产管理及投资业务（未经金融等行业监管部门批准不得从事吸收存款、融资担保、代客理财、向社会公众集（融）资等金融业务） ；房地产开发、土地开发、房屋出租。（依法须经批准的项目，经相关部门批准后方可开展经营活动）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南京市高淳区建设发展集团有限公司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2016-10-28</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接受区政府授权范围内的基础设施、公共项目的投资、融资、建设、运营、管理；负责授权范围内的国有资产经营与管理、对外投资、资本运作。（依法须经批准的项目，经相关部门批准后方可开展经营活动）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江苏瑞海投资控股集团有限公司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2013-12-31</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城镇基础设施、交通基础设施及市政公用项目的投资；物业管理；建筑材料销售；建筑物非爆破拆除工程专业承包；增值电信业务经营。（依法须经批准的项目，经相关部门批准后方可开展经营活动）</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ZZGL202504091188</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江苏信托安源4号集合资金信托计划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25,098,587.25</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25,000,000.00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24,744,219.01</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25,000,000.00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ZZGL202504091190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江苏信托安源6号集合资金信托计划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9,990,389.25</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1,034,870.88</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271,822.11</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5,358,884,995.11</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5,359,054,995.11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4"/>
        <w:spacing w:before="0" w:line="240" w:lineRule="auto"/>
        <w:ind w:left="0" w:right="0" w:firstLine="0" w:firstLineChars="0"/>
        <w:rPr>
          <w:rFonts w:hint="eastAsia" w:ascii="楷体" w:hAnsi="楷体" w:eastAsia="楷体" w:cs="楷体"/>
          <w:spacing w:val="8"/>
          <w:sz w:val="21"/>
        </w:rPr>
      </w:pPr>
      <w:r>
        <w:rPr>
          <w:rFonts w:hint="eastAsia" w:ascii="楷体" w:hAnsi="楷体" w:eastAsia="楷体" w:cs="楷体"/>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4"/>
        <w:spacing w:before="43" w:line="275" w:lineRule="auto"/>
        <w:ind w:right="1799" w:firstLine="226" w:firstLineChars="100"/>
        <w:rPr>
          <w:rFonts w:hint="eastAsia" w:ascii="楷体" w:hAnsi="楷体" w:eastAsia="楷体" w:cs="楷体"/>
          <w:spacing w:val="8"/>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4"/>
        <w:spacing w:before="0" w:line="240" w:lineRule="auto"/>
        <w:ind w:left="0" w:right="0" w:firstLine="0" w:firstLineChars="0"/>
        <w:jc w:val="both"/>
        <w:rPr>
          <w:rFonts w:hint="eastAsia" w:ascii="楷体" w:hAnsi="楷体" w:eastAsia="楷体" w:cs="楷体"/>
          <w:sz w:val="21"/>
        </w:rPr>
      </w:pPr>
      <w:r>
        <w:rPr>
          <w:rFonts w:hint="eastAsia" w:ascii="楷体" w:hAnsi="楷体" w:eastAsia="楷体" w:cs="楷体"/>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hint="eastAsia" w:ascii="楷体" w:hAnsi="楷体" w:eastAsia="楷体" w:cs="楷体"/>
          <w:spacing w:val="9"/>
          <w:sz w:val="21"/>
        </w:rPr>
        <w:br w:type="textWrapping"/>
      </w:r>
      <w:r>
        <w:rPr>
          <w:rFonts w:hint="eastAsia" w:ascii="楷体" w:hAnsi="楷体" w:eastAsia="楷体" w:cs="楷体"/>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hint="eastAsia" w:ascii="楷体" w:hAnsi="楷体" w:eastAsia="楷体" w:cs="楷体"/>
          <w:spacing w:val="9"/>
          <w:sz w:val="21"/>
        </w:rPr>
        <w:br w:type="textWrapping"/>
      </w:r>
      <w:r>
        <w:rPr>
          <w:rFonts w:hint="eastAsia" w:ascii="楷体" w:hAnsi="楷体" w:eastAsia="楷体" w:cs="楷体"/>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560" w:firstLineChars="200"/>
        <w:rPr>
          <w:rFonts w:hint="eastAsia" w:ascii="楷体" w:hAnsi="楷体" w:eastAsia="楷体" w:cs="楷体"/>
          <w:bCs/>
          <w:kern w:val="0"/>
          <w:szCs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pStyle w:val="4"/>
        <w:spacing w:before="0" w:line="240" w:lineRule="auto"/>
        <w:ind w:left="0" w:right="0" w:firstLine="0" w:firstLineChars="0"/>
        <w:rPr>
          <w:rFonts w:hint="eastAsia" w:ascii="楷体" w:hAnsi="楷体" w:eastAsia="楷体" w:cs="楷体"/>
          <w:sz w:val="21"/>
        </w:rPr>
      </w:pPr>
      <w:r>
        <w:rPr>
          <w:rFonts w:hint="eastAsia" w:ascii="楷体" w:hAnsi="楷体" w:eastAsia="楷体" w:cs="楷体"/>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2EA36"/>
    <w:multiLevelType w:val="singleLevel"/>
    <w:tmpl w:val="FEC2EA36"/>
    <w:lvl w:ilvl="0" w:tentative="0">
      <w:start w:val="3"/>
      <w:numFmt w:val="decimal"/>
      <w:suff w:val="nothing"/>
      <w:lvlText w:val="%1）"/>
      <w:lvlJc w:val="left"/>
    </w:lvl>
  </w:abstractNum>
  <w:abstractNum w:abstractNumId="1">
    <w:nsid w:val="30A0AC00"/>
    <w:multiLevelType w:val="singleLevel"/>
    <w:tmpl w:val="30A0AC00"/>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1B6F06FD"/>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b6ba515-d86c-4259-961c-4563383bda43}">
  <ds:schemaRefs/>
</ds:datastoreItem>
</file>

<file path=customXml/itemProps3.xml><?xml version="1.0" encoding="utf-8"?>
<ds:datastoreItem xmlns:ds="http://schemas.openxmlformats.org/officeDocument/2006/customXml" ds:itemID="{6967ded7-8a83-4cc2-a31a-d364ce22b5c2}">
  <ds:schemaRefs/>
</ds:datastoreItem>
</file>

<file path=customXml/itemProps4.xml><?xml version="1.0" encoding="utf-8"?>
<ds:datastoreItem xmlns:ds="http://schemas.openxmlformats.org/officeDocument/2006/customXml" ds:itemID="{24d93035-68f2-4385-8e85-de242cc66dd9}">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2025-07-16T02:31:28Z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A6C8E3686D624E3B9C0E0EFC59323913</vt:lpwstr>
  </property>
</Properties>
</file>