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苏银理财启源现金3号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苏银理财启源现金3号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2023年02月16日</w:t>
      </w:r>
      <w:r>
        <w:rPr>
          <w:rFonts w:hint="eastAsia" w:ascii="楷体" w:hAnsi="楷体" w:eastAsia="楷体" w:cs="楷体"/>
        </w:rPr>
        <w:t>成立，于</w:t>
      </w:r>
      <w:r>
        <w:rPr>
          <w:rFonts w:hint="eastAsia" w:ascii="楷体" w:hAnsi="楷体" w:eastAsia="楷体" w:cs="楷体"/>
          <w:spacing w:val="-7"/>
        </w:rPr>
        <w:t>2023年02月16日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Z7003122000161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10,224,373,047.25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10,224,373,047.25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31000188000515065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10,225,398,357.96</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100.01%</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1"/>
        <w:gridCol w:w="1961"/>
        <w:gridCol w:w="1462"/>
        <w:gridCol w:w="1712"/>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462"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712"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525"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jc w:val="left"/>
              <w:rPr>
                <w:rFonts w:ascii="楷体" w:hAnsi="楷体" w:eastAsia="楷体" w:cs="楷体"/>
                <w:sz w:val="22"/>
              </w:rPr>
            </w:pPr>
            <w:r>
              <w:rPr>
                <w:rFonts w:hint="eastAsia" w:ascii="楷体" w:hAnsi="楷体" w:eastAsia="楷体" w:cs="楷体"/>
                <w:sz w:val="22"/>
              </w:rPr>
              <w:t>2025-06-30</w:t>
            </w:r>
          </w:p>
        </w:tc>
        <w:tc>
          <w:tcPr>
            <w:tcW w:w="1961" w:type="dxa"/>
          </w:tcPr>
          <w:p>
            <w:pPr>
              <w:jc w:val="left"/>
              <w:rPr>
                <w:rFonts w:ascii="楷体" w:hAnsi="楷体" w:eastAsia="楷体" w:cs="楷体"/>
                <w:sz w:val="22"/>
              </w:rPr>
            </w:pPr>
            <w:r>
              <w:rPr>
                <w:rFonts w:hint="eastAsia" w:ascii="楷体" w:hAnsi="楷体" w:eastAsia="楷体" w:cs="楷体"/>
                <w:sz w:val="22"/>
              </w:rPr>
              <w:t>苏银理财启源现金3号K</w:t>
            </w:r>
          </w:p>
        </w:tc>
        <w:tc>
          <w:tcPr>
            <w:tcW w:w="1462" w:type="dxa"/>
          </w:tcPr>
          <w:p>
            <w:pPr>
              <w:jc w:val="left"/>
              <w:rPr>
                <w:rFonts w:ascii="楷体" w:hAnsi="楷体" w:eastAsia="楷体" w:cs="楷体"/>
                <w:sz w:val="22"/>
              </w:rPr>
            </w:pPr>
            <w:r>
              <w:rPr>
                <w:rFonts w:hint="eastAsia" w:ascii="楷体" w:hAnsi="楷体" w:eastAsia="楷体" w:cs="楷体"/>
                <w:sz w:val="22"/>
              </w:rPr>
              <w:t>0.5393</w:t>
            </w:r>
          </w:p>
        </w:tc>
        <w:tc>
          <w:tcPr>
            <w:tcW w:w="1712" w:type="dxa"/>
          </w:tcPr>
          <w:p>
            <w:pPr>
              <w:jc w:val="left"/>
              <w:rPr>
                <w:rFonts w:ascii="楷体" w:hAnsi="楷体" w:eastAsia="楷体" w:cs="楷体"/>
                <w:sz w:val="22"/>
              </w:rPr>
            </w:pPr>
            <w:r>
              <w:rPr>
                <w:rFonts w:hint="eastAsia" w:ascii="楷体" w:hAnsi="楷体" w:eastAsia="楷体" w:cs="楷体"/>
                <w:sz w:val="22"/>
              </w:rPr>
              <w:t>1.86%</w:t>
            </w:r>
          </w:p>
        </w:tc>
        <w:tc>
          <w:tcPr>
            <w:tcW w:w="1525" w:type="dxa"/>
          </w:tcPr>
          <w:p>
            <w:pPr>
              <w:jc w:val="left"/>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苏银理财启源现金3号N</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0.5393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苏银理财启源现金3号JS惠农款</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0.5393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苏银理财启源现金3号S</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0.5387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1.85%</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苏银理财启源现金3号X</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0.5037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1.72%</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苏银理财启源现金3号A</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0.5393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苏银理财启源现金3号B</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0.5037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1.72%</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苏银理财启源现金3号W</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0.4215</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1.42%</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苏银理财启源现金3号Q</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0.5393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苏银理财启源现金3号P</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0.5393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苏银理财启源现金3号DG</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0.5991</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1.95%</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61.32%</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38.68%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61.32%</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38.68%</w:t>
            </w:r>
          </w:p>
        </w:tc>
      </w:tr>
    </w:tbl>
    <w:p>
      <w:pPr>
        <w:pStyle w:val="2"/>
        <w:rPr>
          <w:rFonts w:ascii="楷体" w:hAnsi="楷体" w:cs="楷体"/>
        </w:rPr>
      </w:pPr>
    </w:p>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1275"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2235" w:type="dxa"/>
            <w:vAlign w:val="center"/>
          </w:tcPr>
          <w:p>
            <w:pPr>
              <w:jc w:val="center"/>
              <w:rPr>
                <w:rFonts w:ascii="楷体" w:hAnsi="楷体" w:eastAsia="楷体" w:cs="楷体"/>
                <w:sz w:val="22"/>
              </w:rPr>
            </w:pPr>
            <w:r>
              <w:rPr>
                <w:rFonts w:hint="eastAsia" w:ascii="楷体" w:hAnsi="楷体" w:eastAsia="楷体" w:cs="楷体"/>
                <w:sz w:val="22"/>
              </w:rPr>
              <w:t>1,403,943,592.63</w:t>
            </w:r>
          </w:p>
        </w:tc>
        <w:tc>
          <w:tcPr>
            <w:tcW w:w="1800" w:type="dxa"/>
            <w:vAlign w:val="center"/>
          </w:tcPr>
          <w:p>
            <w:pPr>
              <w:jc w:val="center"/>
              <w:rPr>
                <w:rFonts w:ascii="楷体" w:hAnsi="楷体" w:eastAsia="楷体" w:cs="楷体"/>
                <w:sz w:val="22"/>
              </w:rPr>
            </w:pPr>
            <w:r>
              <w:rPr>
                <w:rFonts w:hint="eastAsia" w:ascii="楷体" w:hAnsi="楷体" w:eastAsia="楷体" w:cs="楷体"/>
                <w:sz w:val="22"/>
              </w:rPr>
              <w:t>13.67%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24农发清发02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504,738,401.81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24上海银行CD229</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337,228,432.73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24农业银行CD198</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199,661,997.01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165,117,517.95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hint="eastAsia" w:ascii="楷体" w:hAnsi="楷体" w:eastAsia="楷体" w:cs="楷体"/>
                <w:b w:val="0"/>
                <w:i w:val="0"/>
                <w:strike w:val="0"/>
                <w:color w:val="auto"/>
                <w:position w:val="-1"/>
                <w:sz w:val="22"/>
                <w:u w:val="none"/>
              </w:rPr>
              <w:t>银行存款</w:t>
            </w:r>
            <w:r>
              <w:rPr>
                <w:rFonts w:ascii="楷体" w:hAnsi="楷体" w:eastAsia="楷体" w:cs="楷体"/>
                <w:b w:val="0"/>
                <w:i w:val="0"/>
                <w:strike w:val="0"/>
                <w:color w:val="auto"/>
                <w:position w:val="-1"/>
                <w:sz w:val="22"/>
                <w:u w:val="none"/>
              </w:rPr>
              <w:t>20250221</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151,099,582.90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25光大银行CD080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118,192,972.86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110,063,064.51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9</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24广发10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101,220,547.95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default" w:eastAsia="宋体"/>
                <w:lang w:val="en-US" w:eastAsia="zh-CN"/>
              </w:rPr>
            </w:pPr>
            <w:r>
              <w:rPr>
                <w:rFonts w:hint="eastAsia" w:ascii="楷体" w:hAnsi="楷体" w:eastAsia="楷体" w:cs="楷体"/>
                <w:b w:val="0"/>
                <w:i w:val="0"/>
                <w:strike w:val="0"/>
                <w:color w:val="auto"/>
                <w:position w:val="-1"/>
                <w:sz w:val="22"/>
                <w:u w:val="none"/>
                <w:lang w:val="en-US" w:eastAsia="zh-CN"/>
              </w:rPr>
              <w:t>10</w:t>
            </w:r>
          </w:p>
        </w:tc>
        <w:tc>
          <w:tcPr>
            <w:tcW w:w="2434" w:type="dxa"/>
            <w:vAlign w:val="center"/>
          </w:tcPr>
          <w:p>
            <w:pPr>
              <w:pageBreakBefore w:val="0"/>
              <w:jc w:val="center"/>
              <w:textAlignment w:val="auto"/>
            </w:pPr>
            <w:r>
              <w:rPr>
                <w:rFonts w:hint="eastAsia" w:ascii="楷体" w:hAnsi="楷体" w:eastAsia="楷体" w:cs="楷体"/>
                <w:b w:val="0"/>
                <w:i w:val="0"/>
                <w:strike w:val="0"/>
                <w:color w:val="auto"/>
                <w:position w:val="-1"/>
                <w:sz w:val="22"/>
                <w:u w:val="none"/>
              </w:rPr>
              <w:t>银行存款</w:t>
            </w:r>
            <w:r>
              <w:rPr>
                <w:rFonts w:ascii="楷体" w:hAnsi="楷体" w:eastAsia="楷体" w:cs="楷体"/>
                <w:b w:val="0"/>
                <w:i w:val="0"/>
                <w:strike w:val="0"/>
                <w:color w:val="auto"/>
                <w:position w:val="-1"/>
                <w:sz w:val="22"/>
                <w:u w:val="none"/>
              </w:rPr>
              <w:t>20241121</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101,190,166.42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0.99%</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（四）关联交易情况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2924"/>
        <w:gridCol w:w="2999"/>
        <w:gridCol w:w="2698"/>
      </w:tblGrid>
      <w:tr>
        <w:tblPrEx>
          <w:tblCellMar>
            <w:top w:w="0" w:type="dxa"/>
            <w:left w:w="108" w:type="dxa"/>
            <w:bottom w:w="0" w:type="dxa"/>
            <w:right w:w="108" w:type="dxa"/>
          </w:tblCellMar>
        </w:tblPrEx>
        <w:trPr>
          <w:trHeight w:val="283" w:hRule="atLeast"/>
        </w:trPr>
        <w:tc>
          <w:tcPr>
            <w:tcW w:w="29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2924"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2999"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702,000,155.50</w:t>
            </w:r>
          </w:p>
        </w:tc>
      </w:tr>
      <w:tr>
        <w:tblPrEx>
          <w:tblCellMar>
            <w:top w:w="0" w:type="dxa"/>
            <w:left w:w="108" w:type="dxa"/>
            <w:bottom w:w="0" w:type="dxa"/>
            <w:right w:w="108" w:type="dxa"/>
          </w:tblCellMar>
        </w:tblPrEx>
        <w:trPr>
          <w:trHeight w:val="283" w:hRule="atLeast"/>
        </w:trPr>
        <w:tc>
          <w:tcPr>
            <w:tcW w:w="2924"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2999"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1,553,597.86</w:t>
            </w:r>
          </w:p>
        </w:tc>
      </w:tr>
      <w:tr>
        <w:tblPrEx>
          <w:tblCellMar>
            <w:top w:w="0" w:type="dxa"/>
            <w:left w:w="108" w:type="dxa"/>
            <w:bottom w:w="0" w:type="dxa"/>
            <w:right w:w="108" w:type="dxa"/>
          </w:tblCellMar>
        </w:tblPrEx>
        <w:trPr>
          <w:trHeight w:val="283" w:hRule="atLeast"/>
        </w:trPr>
        <w:tc>
          <w:tcPr>
            <w:tcW w:w="2924"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2999"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442,412.75</w:t>
            </w:r>
          </w:p>
        </w:tc>
      </w:tr>
    </w:tbl>
    <w:p>
      <w:pPr>
        <w:pStyle w:val="14"/>
        <w:rPr>
          <w:rFonts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ascii="楷体" w:hAnsi="楷体" w:cs="楷体"/>
        </w:rPr>
      </w:pPr>
    </w:p>
    <w:p>
      <w:pPr>
        <w:pStyle w:val="14"/>
        <w:rPr>
          <w:rFonts w:ascii="楷体" w:hAnsi="楷体" w:cs="楷体"/>
        </w:rPr>
      </w:pPr>
    </w:p>
    <w:p>
      <w:pPr>
        <w:rPr>
          <w:rFonts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10,224,373,047.25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9,075,773,134.85</w:t>
            </w:r>
          </w:p>
        </w:tc>
      </w:tr>
    </w:tbl>
    <w:p>
      <w:pPr>
        <w:pStyle w:val="14"/>
        <w:rPr>
          <w:rFonts w:ascii="楷体" w:hAnsi="楷体" w:cs="楷体"/>
        </w:rPr>
      </w:pPr>
    </w:p>
    <w:p>
      <w:pPr>
        <w:pStyle w:val="14"/>
        <w:rPr>
          <w:rFonts w:ascii="楷体" w:hAnsi="楷体" w:cs="楷体"/>
          <w:sz w:val="22"/>
          <w:szCs w:val="24"/>
        </w:rPr>
      </w:pPr>
      <w:r>
        <w:rPr>
          <w:rFonts w:hint="eastAsia" w:ascii="楷体" w:hAnsi="楷体" w:cs="楷体"/>
          <w:sz w:val="22"/>
          <w:szCs w:val="24"/>
        </w:rPr>
        <w:t>（七）报告期内单一投资者持有产品份额比例达到或者超过总份额20%的情形</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725"/>
        <w:gridCol w:w="1980"/>
        <w:gridCol w:w="190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pStyle w:val="14"/>
              <w:jc w:val="center"/>
              <w:rPr>
                <w:rFonts w:ascii="楷体" w:hAnsi="楷体" w:cs="楷体"/>
                <w:sz w:val="22"/>
                <w:szCs w:val="24"/>
              </w:rPr>
            </w:pPr>
            <w:r>
              <w:rPr>
                <w:rFonts w:hint="eastAsia" w:ascii="楷体" w:hAnsi="楷体" w:cs="楷体"/>
                <w:sz w:val="22"/>
                <w:szCs w:val="24"/>
              </w:rPr>
              <w:t>序号</w:t>
            </w:r>
          </w:p>
        </w:tc>
        <w:tc>
          <w:tcPr>
            <w:tcW w:w="1725" w:type="dxa"/>
          </w:tcPr>
          <w:p>
            <w:pPr>
              <w:pStyle w:val="14"/>
              <w:jc w:val="center"/>
              <w:rPr>
                <w:rFonts w:ascii="楷体" w:hAnsi="楷体" w:cs="楷体"/>
                <w:sz w:val="22"/>
                <w:szCs w:val="24"/>
              </w:rPr>
            </w:pPr>
            <w:r>
              <w:rPr>
                <w:rFonts w:hint="eastAsia" w:ascii="楷体" w:hAnsi="楷体" w:cs="楷体"/>
                <w:sz w:val="22"/>
                <w:szCs w:val="24"/>
              </w:rPr>
              <w:t>投资者类别</w:t>
            </w:r>
          </w:p>
        </w:tc>
        <w:tc>
          <w:tcPr>
            <w:tcW w:w="1980" w:type="dxa"/>
          </w:tcPr>
          <w:p>
            <w:pPr>
              <w:pStyle w:val="14"/>
              <w:jc w:val="center"/>
              <w:rPr>
                <w:rFonts w:ascii="楷体" w:hAnsi="楷体" w:cs="楷体"/>
                <w:sz w:val="22"/>
                <w:szCs w:val="24"/>
              </w:rPr>
            </w:pPr>
            <w:r>
              <w:rPr>
                <w:rFonts w:hint="eastAsia" w:ascii="楷体" w:hAnsi="楷体" w:cs="楷体"/>
                <w:sz w:val="22"/>
                <w:szCs w:val="24"/>
              </w:rPr>
              <w:t>期末持有份额</w:t>
            </w:r>
          </w:p>
        </w:tc>
        <w:tc>
          <w:tcPr>
            <w:tcW w:w="1905" w:type="dxa"/>
          </w:tcPr>
          <w:p>
            <w:pPr>
              <w:pStyle w:val="14"/>
              <w:jc w:val="center"/>
              <w:rPr>
                <w:rFonts w:ascii="楷体" w:hAnsi="楷体" w:cs="楷体"/>
                <w:sz w:val="22"/>
                <w:szCs w:val="24"/>
              </w:rPr>
            </w:pPr>
            <w:r>
              <w:rPr>
                <w:rFonts w:hint="eastAsia" w:ascii="楷体" w:hAnsi="楷体" w:cs="楷体"/>
                <w:sz w:val="22"/>
                <w:szCs w:val="24"/>
              </w:rPr>
              <w:t>份额占比</w:t>
            </w:r>
          </w:p>
        </w:tc>
        <w:tc>
          <w:tcPr>
            <w:tcW w:w="1676" w:type="dxa"/>
          </w:tcPr>
          <w:p>
            <w:pPr>
              <w:pStyle w:val="14"/>
              <w:jc w:val="center"/>
              <w:rPr>
                <w:rFonts w:ascii="楷体" w:hAnsi="楷体" w:cs="楷体"/>
                <w:sz w:val="22"/>
                <w:szCs w:val="24"/>
              </w:rPr>
            </w:pPr>
            <w:r>
              <w:rPr>
                <w:rFonts w:hint="eastAsia" w:ascii="楷体" w:hAnsi="楷体" w:cs="楷体"/>
                <w:sz w:val="22"/>
                <w:szCs w:val="24"/>
              </w:rPr>
              <w:t>报告期内份额变化情况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jc w:val="center"/>
              <w:rPr>
                <w:rFonts w:ascii="楷体" w:hAnsi="楷体" w:eastAsia="楷体" w:cs="楷体"/>
                <w:sz w:val="22"/>
              </w:rPr>
            </w:pPr>
            <w:r>
              <w:rPr>
                <w:rFonts w:hint="eastAsia" w:ascii="楷体" w:hAnsi="楷体" w:eastAsia="楷体" w:cs="楷体"/>
                <w:sz w:val="22"/>
              </w:rPr>
              <w:t>-</w:t>
            </w:r>
          </w:p>
        </w:tc>
        <w:tc>
          <w:tcPr>
            <w:tcW w:w="1725" w:type="dxa"/>
          </w:tcPr>
          <w:p>
            <w:pPr>
              <w:jc w:val="center"/>
              <w:rPr>
                <w:rFonts w:ascii="楷体" w:hAnsi="楷体" w:eastAsia="楷体" w:cs="楷体"/>
                <w:sz w:val="22"/>
              </w:rPr>
            </w:pPr>
            <w:r>
              <w:rPr>
                <w:rFonts w:hint="eastAsia" w:ascii="楷体" w:hAnsi="楷体" w:eastAsia="楷体" w:cs="楷体"/>
                <w:sz w:val="22"/>
              </w:rPr>
              <w:t>-</w:t>
            </w:r>
          </w:p>
        </w:tc>
        <w:tc>
          <w:tcPr>
            <w:tcW w:w="1980" w:type="dxa"/>
          </w:tcPr>
          <w:p>
            <w:pPr>
              <w:jc w:val="center"/>
              <w:rPr>
                <w:rFonts w:ascii="楷体" w:hAnsi="楷体" w:eastAsia="楷体" w:cs="楷体"/>
                <w:sz w:val="22"/>
              </w:rPr>
            </w:pPr>
            <w:r>
              <w:rPr>
                <w:rFonts w:hint="eastAsia" w:ascii="楷体" w:hAnsi="楷体" w:eastAsia="楷体" w:cs="楷体"/>
                <w:sz w:val="22"/>
              </w:rPr>
              <w:t>-</w:t>
            </w:r>
          </w:p>
        </w:tc>
        <w:tc>
          <w:tcPr>
            <w:tcW w:w="1905" w:type="dxa"/>
          </w:tcPr>
          <w:p>
            <w:pPr>
              <w:jc w:val="center"/>
              <w:rPr>
                <w:rFonts w:ascii="楷体" w:hAnsi="楷体" w:eastAsia="楷体" w:cs="楷体"/>
                <w:sz w:val="22"/>
              </w:rPr>
            </w:pPr>
            <w:r>
              <w:rPr>
                <w:rFonts w:hint="eastAsia" w:ascii="楷体" w:hAnsi="楷体" w:eastAsia="楷体" w:cs="楷体"/>
                <w:sz w:val="22"/>
              </w:rPr>
              <w:t>-</w:t>
            </w:r>
          </w:p>
        </w:tc>
        <w:tc>
          <w:tcPr>
            <w:tcW w:w="1676" w:type="dxa"/>
          </w:tcPr>
          <w:p>
            <w:pPr>
              <w:jc w:val="center"/>
              <w:rPr>
                <w:rFonts w:ascii="楷体" w:hAnsi="楷体" w:eastAsia="楷体" w:cs="楷体"/>
                <w:sz w:val="22"/>
              </w:rPr>
            </w:pPr>
            <w:r>
              <w:rPr>
                <w:rFonts w:hint="eastAsia" w:ascii="楷体" w:hAnsi="楷体" w:eastAsia="楷体" w:cs="楷体"/>
                <w:sz w:val="22"/>
              </w:rPr>
              <w:t>-</w:t>
            </w:r>
          </w:p>
        </w:tc>
      </w:tr>
    </w:tbl>
    <w:p>
      <w:pPr>
        <w:pStyle w:val="2"/>
        <w:rPr>
          <w:rFonts w:ascii="楷体" w:hAnsi="楷体" w:cs="楷体"/>
        </w:rPr>
      </w:pPr>
    </w:p>
    <w:p>
      <w:pPr>
        <w:pStyle w:val="2"/>
        <w:rPr>
          <w:rFonts w:ascii="楷体" w:hAnsi="楷体" w:cs="楷体"/>
        </w:rPr>
      </w:pPr>
      <w:r>
        <w:rPr>
          <w:rFonts w:hint="eastAsia" w:ascii="楷体" w:hAnsi="楷体" w:cs="楷体"/>
        </w:rPr>
        <w:t>四.投资运作情况</w:t>
      </w:r>
    </w:p>
    <w:p>
      <w:pPr>
        <w:rPr>
          <w:rFonts w:hint="eastAsia" w:ascii="楷体" w:hAnsi="楷体" w:eastAsia="楷体" w:cs="楷体"/>
          <w:sz w:val="21"/>
          <w:szCs w:val="21"/>
        </w:rPr>
      </w:pPr>
      <w:r>
        <w:rPr>
          <w:rFonts w:hint="eastAsia" w:ascii="楷体" w:hAnsi="楷体" w:eastAsia="楷体" w:cs="楷体"/>
          <w:sz w:val="21"/>
          <w:szCs w:val="21"/>
        </w:rPr>
        <w:t>1、运作期</w:t>
      </w:r>
      <w:bookmarkStart w:id="1" w:name="_GoBack"/>
      <w:bookmarkEnd w:id="1"/>
      <w:r>
        <w:rPr>
          <w:rFonts w:hint="eastAsia" w:ascii="楷体" w:hAnsi="楷体" w:eastAsia="楷体" w:cs="楷体"/>
          <w:sz w:val="21"/>
          <w:szCs w:val="21"/>
        </w:rPr>
        <w:t>回顾</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2025年二季度，在党中央的坚强领导下，面对外部冲击明显加大，国内经济顶住压力平稳增长，各地区各部门深入贯彻党中央、国务院的决策部署，坚持稳中求进，宏观稳经济政策协同发力，国民经济稳中向好。</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从经济基本面看，二季度经济保持了稳健增长态势。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债券市场方面，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预计三季度关税还会成为扰动市场的重要因素，因此利率可能继续震荡下行，6月已经出现机构配置抢跑的现象，预计后续配置力量仍然存在。</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报告期内，二季度，在央行降息落地及外需压力共同作用下，债市收益率普遍下行。管理人积极对照监管要求，严格管控现金管理类产品的信用风险、久期风险、集中度风险和流动性风险。在资产配置策略上选择以同业存单、利率债、回购和银行存款等低风险资产为主，增加存单和利率债投资比例。在收益率持续下行的过程中增加债券类资产持仓，同时储备了一波利率相对较高的长期存款类资产。相关资产的配置主要抓住资金面波动的点进行，兼顾资产类别和期限的总体均衡。此外，本产品采用较多的杠杆策略、交易策略以及货基增强策略，成功获取一定的超额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2、后市展望及下阶段投资策略</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3、流动性风险分析</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2025年二季度，市场流动性整体宽松，本产品在投资高流动性的利率债和AAA存单以外，动态调整产品杠杆率，充分做好资金准备，平稳度过各关键时点，充分满足了产品的流动性需求，保障了投资者的赎回需求。</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展望后市，本产品将继续重点投资信用等级较高、流动性较好的各类标的，做好资金安排和流动性预判，充分满足产品流动性需求。</w:t>
      </w:r>
    </w:p>
    <w:p>
      <w:pPr>
        <w:rPr>
          <w:rFonts w:hint="eastAsia" w:ascii="楷体" w:hAnsi="楷体" w:eastAsia="楷体" w:cs="楷体"/>
          <w:sz w:val="21"/>
          <w:szCs w:val="21"/>
        </w:rPr>
      </w:pPr>
    </w:p>
    <w:p>
      <w:pPr>
        <w:rPr>
          <w:rFonts w:hint="eastAsia" w:ascii="楷体" w:hAnsi="楷体" w:eastAsia="楷体" w:cs="楷体"/>
          <w:sz w:val="21"/>
          <w:szCs w:val="21"/>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p>
      <w:pPr>
        <w:rPr>
          <w:rFonts w:ascii="楷体" w:hAnsi="楷体" w:eastAsia="楷体" w:cs="楷体"/>
          <w:sz w:val="21"/>
          <w:szCs w:val="21"/>
        </w:rPr>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7777EF4"/>
    <w:rsid w:val="1B58248F"/>
    <w:rsid w:val="367526A6"/>
    <w:rsid w:val="3BAE30AC"/>
    <w:rsid w:val="7F727ED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86</TotalTime>
  <ScaleCrop>false</ScaleCrop>
  <LinksUpToDate>false</LinksUpToDate>
  <CharactersWithSpaces>2985</CharactersWithSpaces>
  <Application>WPS Office_12.1.0.17147_F1E327BC-269C-435d-A152-05C5408002CA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2025-06-03T02:44:25Z</dcterms:modified>
  <cp:revision>29</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f8d749-fd44-412f-91d7-ae01275361b0}">
  <ds:schemaRefs/>
</ds:datastoreItem>
</file>

<file path=customXml/itemProps3.xml><?xml version="1.0" encoding="utf-8"?>
<ds:datastoreItem xmlns:ds="http://schemas.openxmlformats.org/officeDocument/2006/customXml" ds:itemID="{046d5821-536d-4c28-b1a2-8e840703142f}">
  <ds:schemaRefs/>
</ds:datastoreItem>
</file>

<file path=customXml/itemProps4.xml><?xml version="1.0" encoding="utf-8"?>
<ds:datastoreItem xmlns:ds="http://schemas.openxmlformats.org/officeDocument/2006/customXml" ds:itemID="{a891d98c-dcba-4908-96d6-95162668ced5}">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3</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2025-07-16T09:05:16Z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DE3F5772F1E64F9FB133537E2F5AD21A</vt:lpwstr>
  </property>
</Properties>
</file>