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苏银理财恒源1年定开20期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苏银理财恒源1年定开20期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2021年08月04日</w:t>
      </w:r>
      <w:r>
        <w:rPr>
          <w:rFonts w:hint="eastAsia" w:ascii="楷体" w:hAnsi="楷体" w:eastAsia="楷体" w:cs="楷体"/>
        </w:rPr>
        <w:t>成立，于</w:t>
      </w:r>
      <w:r>
        <w:rPr>
          <w:rFonts w:hint="eastAsia" w:ascii="楷体" w:hAnsi="楷体" w:eastAsia="楷体" w:cs="楷体"/>
          <w:spacing w:val="-7"/>
        </w:rPr>
        <w:t>2021年08月04日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苏银理财恒源1年定开20期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Z7003121000117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2,024,969,051.77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2,076,391,730.76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31000188000441561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2,076,613,337.5</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100.01%</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苏银理财恒源1年定开20期D</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1.026386</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1.064436</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2.95%-3.55%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苏银理财恒源1年定开20期F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1.025062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1.061531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2.80%-3.40%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苏银理财恒源1年定开20期G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1.025502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1.063025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2.85%-3.45%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苏银理财恒源1年定开20期J</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1.025948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1.063471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2.90%-3.50%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苏银理财恒源1年定开20期ZA（自动赎回）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1.025057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1.061526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2.80%-3.40%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苏银理财恒源1年定开20期ZF（自动赎回）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1.025063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1.061532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2.80%-3.40%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苏银理财恒源1年定开20期A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1.025064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1.144409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2.80%-3.40%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苏银理财恒源1年定开20期B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1.025334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1.146192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2.83%-3.43%</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4.53%</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95.15%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0.32%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4.53%</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95.47%</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重庆信托-融源4号-太湖新城</w:t>
            </w:r>
          </w:p>
        </w:tc>
        <w:tc>
          <w:tcPr>
            <w:tcW w:w="1275" w:type="dxa"/>
          </w:tcPr>
          <w:p>
            <w:pPr>
              <w:jc w:val="center"/>
              <w:rPr>
                <w:rFonts w:hint="eastAsia" w:ascii="楷体" w:hAnsi="楷体" w:eastAsia="楷体" w:cs="楷体"/>
                <w:sz w:val="22"/>
              </w:rPr>
            </w:pPr>
            <w:r>
              <w:rPr>
                <w:rFonts w:hint="eastAsia" w:ascii="楷体" w:hAnsi="楷体" w:eastAsia="楷体" w:cs="楷体"/>
                <w:sz w:val="22"/>
              </w:rPr>
              <w:t>非标准化债权类资产</w:t>
            </w:r>
          </w:p>
        </w:tc>
        <w:tc>
          <w:tcPr>
            <w:tcW w:w="2235" w:type="dxa"/>
          </w:tcPr>
          <w:p>
            <w:pPr>
              <w:jc w:val="center"/>
              <w:rPr>
                <w:rFonts w:hint="eastAsia" w:ascii="楷体" w:hAnsi="楷体" w:eastAsia="楷体" w:cs="楷体"/>
                <w:sz w:val="22"/>
              </w:rPr>
            </w:pPr>
            <w:r>
              <w:rPr>
                <w:rFonts w:hint="eastAsia" w:ascii="楷体" w:hAnsi="楷体" w:eastAsia="楷体" w:cs="楷体"/>
                <w:sz w:val="22"/>
              </w:rPr>
              <w:t>195,270,183.42</w:t>
            </w:r>
          </w:p>
        </w:tc>
        <w:tc>
          <w:tcPr>
            <w:tcW w:w="1800" w:type="dxa"/>
          </w:tcPr>
          <w:p>
            <w:pPr>
              <w:jc w:val="center"/>
              <w:rPr>
                <w:rFonts w:hint="eastAsia" w:ascii="楷体" w:hAnsi="楷体" w:eastAsia="楷体" w:cs="楷体"/>
                <w:sz w:val="22"/>
              </w:rPr>
            </w:pPr>
            <w:r>
              <w:rPr>
                <w:rFonts w:hint="eastAsia" w:ascii="楷体" w:hAnsi="楷体" w:eastAsia="楷体" w:cs="楷体"/>
                <w:sz w:val="22"/>
              </w:rPr>
              <w:t>8.47%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重庆信托-融源1号第一期-武进建设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140,213,948.95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6.08%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交银国信·蓝色慧投1号（抖音月付）</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107,504,321.92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25国开05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99,491,308.51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华鑫信托-格昱10号-京东</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95,324,093.15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24特别国债06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38,652,243.21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38,376,533.22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24国开05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29,182,408.59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23东财04</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25,698,525.00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25国开10</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23,547,475.46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1.02%</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无锡市太湖新城资产经营管理有限公司</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重庆信托-融源4号-太湖新城</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59</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195,000,000.00</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按季付息，到期一次性还本</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投资信托计划产品</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常州市武进建设资产经营有限公司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重庆信托-融源1号第一期-武进建设</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59</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140,000,000.00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按季付息，到期一次性还本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抖音导流、信托自主审核通过的借款人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交银国信·蓝色慧投1号（抖音月付）</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59</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105,000,000.00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京东导流，信托自主审核通过的借款人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华鑫信托-格昱10号-京东</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52</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95,000,000.00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循环期按季付息不还本，摊还期每月过手摊还本息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常州市武进建设资产经营有限公司</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2000-12-19</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200,000,000.00</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一般项目：以自有资金从事投资活动；企业管理；物业管理（除依法须经批准的项目外，凭营业执照依法自主开展经营活动）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抖音导流、信托自主审核通过的借款人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京东导流，信托自主审核通过的借款人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无锡市太湖新城资产经营管理有限公司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hint="eastAsia" w:ascii="楷体" w:hAnsi="楷体" w:eastAsia="楷体" w:cs="楷体"/>
                <w:b w:val="0"/>
                <w:i w:val="0"/>
                <w:strike w:val="0"/>
                <w:color w:val="auto"/>
                <w:position w:val="-1"/>
                <w:sz w:val="22"/>
                <w:u w:val="none"/>
              </w:rPr>
              <w:t>2008-3-14</w:t>
            </w:r>
            <w:bookmarkStart w:id="1" w:name="_GoBack"/>
            <w:bookmarkEnd w:id="1"/>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7,457,591,800.00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一般项目：自有资金投资的资产管理服务；企业管理；物业管理；工程管理服务；市政设施管理；住房租赁；信息技术咨询服务；以自有资金从事投资活动；建筑材料销售；非金属矿及制品销售；建筑砌块销售；水泥制品销售；金属材料销售；家具销售；办公用品销售；电子产品销售(除依法须经批准的项目外，凭营业执照依法自主开展经营活动)</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NETA20201230000002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江苏信托鼎泰1号集合资金信托计划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24,494,754.86</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30,000,000.00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366,074.71</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104,150.60</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2,024,969,051.77</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2,024,969,051.77</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hint="eastAsia" w:ascii="楷体" w:hAnsi="楷体" w:eastAsia="楷体" w:cs="楷体"/>
          <w:b w:val="0"/>
          <w:sz w:val="21"/>
        </w:rPr>
      </w:pPr>
      <w:r>
        <w:rPr>
          <w:rFonts w:hint="eastAsia" w:ascii="楷体" w:hAnsi="楷体" w:eastAsia="楷体" w:cs="楷体"/>
          <w:b w:val="0"/>
          <w:sz w:val="21"/>
        </w:rPr>
        <w:t>1、运作期回顾</w:t>
      </w:r>
    </w:p>
    <w:p>
      <w:pPr>
        <w:pStyle w:val="4"/>
        <w:spacing w:before="0" w:line="240" w:lineRule="auto"/>
        <w:ind w:left="0" w:right="0" w:firstLine="0" w:firstLineChars="0"/>
        <w:rPr>
          <w:rFonts w:hint="eastAsia" w:ascii="楷体" w:hAnsi="楷体" w:eastAsia="楷体" w:cs="楷体"/>
          <w:spacing w:val="8"/>
          <w:sz w:val="21"/>
        </w:rPr>
      </w:pPr>
      <w:r>
        <w:rPr>
          <w:rFonts w:hint="eastAsia" w:ascii="楷体" w:hAnsi="楷体" w:eastAsia="楷体" w:cs="楷体"/>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p>
    <w:p>
      <w:pPr>
        <w:pStyle w:val="4"/>
        <w:spacing w:before="43" w:line="275" w:lineRule="auto"/>
        <w:ind w:right="1799" w:firstLine="226" w:firstLineChars="100"/>
        <w:rPr>
          <w:rFonts w:hint="eastAsia" w:ascii="楷体" w:hAnsi="楷体" w:eastAsia="楷体" w:cs="楷体"/>
          <w:spacing w:val="8"/>
          <w:sz w:val="21"/>
        </w:rPr>
      </w:pPr>
    </w:p>
    <w:p>
      <w:pPr>
        <w:pStyle w:val="2"/>
        <w:rPr>
          <w:rFonts w:hint="eastAsia" w:ascii="楷体" w:hAnsi="楷体" w:eastAsia="楷体" w:cs="楷体"/>
          <w:b w:val="0"/>
          <w:sz w:val="21"/>
        </w:rPr>
      </w:pPr>
      <w:r>
        <w:rPr>
          <w:rFonts w:hint="eastAsia" w:ascii="楷体" w:hAnsi="楷体" w:eastAsia="楷体" w:cs="楷体"/>
          <w:b w:val="0"/>
          <w:sz w:val="21"/>
        </w:rPr>
        <w:t>2、后市展望及下阶段投资策略</w:t>
      </w:r>
    </w:p>
    <w:p>
      <w:pPr>
        <w:pStyle w:val="4"/>
        <w:spacing w:before="0" w:line="240" w:lineRule="auto"/>
        <w:ind w:left="0" w:right="0" w:firstLine="0" w:firstLineChars="0"/>
        <w:jc w:val="both"/>
        <w:rPr>
          <w:rFonts w:hint="eastAsia" w:ascii="楷体" w:hAnsi="楷体" w:eastAsia="楷体" w:cs="楷体"/>
          <w:sz w:val="21"/>
        </w:rPr>
      </w:pPr>
      <w:r>
        <w:rPr>
          <w:rFonts w:hint="eastAsia" w:ascii="楷体" w:hAnsi="楷体" w:eastAsia="楷体" w:cs="楷体"/>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hint="eastAsia" w:ascii="楷体" w:hAnsi="楷体" w:eastAsia="楷体" w:cs="楷体"/>
          <w:spacing w:val="9"/>
          <w:sz w:val="21"/>
        </w:rPr>
        <w:br w:type="textWrapping"/>
      </w:r>
      <w:r>
        <w:rPr>
          <w:rFonts w:hint="eastAsia" w:ascii="楷体" w:hAnsi="楷体" w:eastAsia="楷体" w:cs="楷体"/>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hint="eastAsia" w:ascii="楷体" w:hAnsi="楷体" w:eastAsia="楷体" w:cs="楷体"/>
          <w:spacing w:val="9"/>
          <w:sz w:val="21"/>
        </w:rPr>
        <w:br w:type="textWrapping"/>
      </w:r>
      <w:r>
        <w:rPr>
          <w:rFonts w:hint="eastAsia" w:ascii="楷体" w:hAnsi="楷体" w:eastAsia="楷体" w:cs="楷体"/>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560" w:firstLineChars="200"/>
        <w:rPr>
          <w:rFonts w:hint="eastAsia" w:ascii="楷体" w:hAnsi="楷体" w:eastAsia="楷体" w:cs="楷体"/>
          <w:bCs/>
          <w:kern w:val="0"/>
          <w:szCs w:val="21"/>
        </w:rPr>
      </w:pPr>
    </w:p>
    <w:p>
      <w:pPr>
        <w:pStyle w:val="2"/>
        <w:rPr>
          <w:rFonts w:hint="eastAsia" w:ascii="楷体" w:hAnsi="楷体" w:eastAsia="楷体" w:cs="楷体"/>
          <w:b w:val="0"/>
          <w:sz w:val="21"/>
        </w:rPr>
      </w:pPr>
      <w:r>
        <w:rPr>
          <w:rFonts w:hint="eastAsia" w:ascii="楷体" w:hAnsi="楷体" w:eastAsia="楷体" w:cs="楷体"/>
          <w:b w:val="0"/>
          <w:sz w:val="21"/>
        </w:rPr>
        <w:t>3、流动性风险分析</w:t>
      </w:r>
    </w:p>
    <w:p>
      <w:pPr>
        <w:pStyle w:val="4"/>
        <w:spacing w:before="0" w:line="240" w:lineRule="auto"/>
        <w:ind w:left="0" w:right="0" w:firstLine="0" w:firstLineChars="0"/>
        <w:rPr>
          <w:rFonts w:hint="eastAsia" w:ascii="楷体" w:hAnsi="楷体" w:eastAsia="楷体" w:cs="楷体"/>
          <w:sz w:val="21"/>
        </w:rPr>
      </w:pPr>
      <w:r>
        <w:rPr>
          <w:rFonts w:hint="eastAsia" w:ascii="楷体" w:hAnsi="楷体" w:eastAsia="楷体" w:cs="楷体"/>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3FCF68"/>
    <w:multiLevelType w:val="singleLevel"/>
    <w:tmpl w:val="243FCF68"/>
    <w:lvl w:ilvl="0" w:tentative="0">
      <w:start w:val="3"/>
      <w:numFmt w:val="chineseCounting"/>
      <w:suff w:val="nothing"/>
      <w:lvlText w:val="（%1）"/>
      <w:lvlJc w:val="left"/>
      <w:rPr>
        <w:rFonts w:hint="eastAsia"/>
      </w:rPr>
    </w:lvl>
  </w:abstractNum>
  <w:abstractNum w:abstractNumId="1">
    <w:nsid w:val="4D94DA66"/>
    <w:multiLevelType w:val="singleLevel"/>
    <w:tmpl w:val="4D94DA66"/>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4CFA5BB6"/>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06840a3-7855-447c-ae74-5d9d761ae9bd}">
  <ds:schemaRefs/>
</ds:datastoreItem>
</file>

<file path=customXml/itemProps3.xml><?xml version="1.0" encoding="utf-8"?>
<ds:datastoreItem xmlns:ds="http://schemas.openxmlformats.org/officeDocument/2006/customXml" ds:itemID="{c2c815d7-6b36-4ba4-ae6c-27a62b8f4713}">
  <ds:schemaRefs/>
</ds:datastoreItem>
</file>

<file path=customXml/itemProps4.xml><?xml version="1.0" encoding="utf-8"?>
<ds:datastoreItem xmlns:ds="http://schemas.openxmlformats.org/officeDocument/2006/customXml" ds:itemID="{1e8dc4ce-540f-4926-989a-12852e1c856a}">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2025-07-16T02:10:12Z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7D05521157A6492684B737E24149AF5B</vt:lpwstr>
  </property>
</Properties>
</file>