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苏银理财恒源最短持有30天</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苏银理财恒源最短持有30天</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2023年12月15日</w:t>
      </w:r>
      <w:r>
        <w:rPr>
          <w:rFonts w:hint="eastAsia" w:ascii="楷体" w:hAnsi="楷体" w:eastAsia="楷体" w:cs="楷体"/>
        </w:rPr>
        <w:t>成立，于</w:t>
      </w:r>
      <w:r>
        <w:rPr>
          <w:rFonts w:hint="eastAsia" w:ascii="楷体" w:hAnsi="楷体" w:eastAsia="楷体" w:cs="楷体"/>
          <w:spacing w:val="-7"/>
        </w:rPr>
        <w:t>2023年12月15日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苏银理财恒源最短持有30天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10,575,245,319.54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11,006,764,257.31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31000188000565117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11,008,573,432.56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苏银理财恒源最短持有30天H</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1.041681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1.041681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1.040121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1.040121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1.040349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1.040349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1.041339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1.041339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1.039416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1.039416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1.040582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1.040582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1.041412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1.039454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1.039454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苏银理财恒源最短持有30天（私享款）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1.040994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1.040994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2.30%-3.00%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21.10%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1.78%</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22.88%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77.12%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913,914,259.49</w:t>
            </w:r>
          </w:p>
        </w:tc>
        <w:tc>
          <w:tcPr>
            <w:tcW w:w="1800" w:type="dxa"/>
          </w:tcPr>
          <w:p>
            <w:pPr>
              <w:jc w:val="center"/>
              <w:rPr>
                <w:rFonts w:hint="eastAsia" w:ascii="楷体" w:hAnsi="楷体" w:eastAsia="楷体" w:cs="楷体"/>
                <w:sz w:val="22"/>
              </w:rPr>
            </w:pPr>
            <w:r>
              <w:rPr>
                <w:rFonts w:hint="eastAsia" w:ascii="楷体" w:hAnsi="楷体" w:eastAsia="楷体" w:cs="楷体"/>
                <w:sz w:val="22"/>
              </w:rPr>
              <w:t>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24上海银行二级资本债01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267,687,912.33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24农行永续债03BC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257,516,072.41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中国农业银行昆山分行202311097219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242,047,145.65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24浦发银行二级资本债01A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188,431,567.01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24宁波银行二级资本债02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150,588,855.59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142,578,150.93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142,578,150.93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24邮储永续债01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140,053,788.43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24徽商银行永续债01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132,856,756.99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199,819,567.07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644,104,603.10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2,482,011.17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605,612.60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10,575,245,319.54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12,789,581,078.76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二季度债市在超预期关税驱动下先是急涨，随后市场在关税进展、基本面和政策预期之间反复摇摆，进入震荡格局。5月一揽子货币政策落地，资金中枢整体下移带动信用债大幅走强，持续回升的理财规模助推利差快速压缩。6月以来资金宽松基调延续，信用债收益率跟随下行。</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最短持有30天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pStyle w:val="4"/>
        <w:spacing w:before="0" w:line="240" w:lineRule="auto"/>
        <w:ind w:left="0" w:right="0" w:firstLine="420" w:firstLineChars="200"/>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展望下一季度，在面临宏观环境不确定性增强的大环境下，货币政策将保持适度宽松，利率大幅上行的风险相对较低。因此，我们认为，在货币政策可能进一步宽松的预期下，利率整体预计将保持下行态势。同时，也需要密切关注与跟踪海外的不确定性以及全球的地缘政治风险。</w:t>
      </w:r>
    </w:p>
    <w:p>
      <w:pPr>
        <w:ind w:firstLine="420" w:firstLineChars="200"/>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Times New Roman"/>
          <w:b w:val="0"/>
          <w:bCs/>
          <w:kern w:val="0"/>
          <w:sz w:val="21"/>
          <w:szCs w:val="21"/>
          <w:lang w:val="en-US" w:eastAsia="zh-CN" w:bidi="ar-SA"/>
        </w:rPr>
      </w:pPr>
      <w:bookmarkStart w:id="1" w:name="_GoBack"/>
      <w:r>
        <w:rPr>
          <w:rFonts w:hint="eastAsia" w:ascii="楷体" w:hAnsi="楷体" w:eastAsia="楷体" w:cs="Times New Roman"/>
          <w:b w:val="0"/>
          <w:bCs/>
          <w:kern w:val="0"/>
          <w:sz w:val="21"/>
          <w:szCs w:val="21"/>
          <w:lang w:val="en-US" w:eastAsia="zh-CN" w:bidi="ar-SA"/>
        </w:rPr>
        <w:t>流动性风险方面，本产品持仓资产以标准化债权类资产为主，变现能力较强，同时注重调优持仓结构，确保流动性处于合理水平。</w:t>
      </w:r>
    </w:p>
    <w:bookmarkEnd w:id="1"/>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94649F"/>
    <w:multiLevelType w:val="singleLevel"/>
    <w:tmpl w:val="CB94649F"/>
    <w:lvl w:ilvl="0" w:tentative="0">
      <w:start w:val="3"/>
      <w:numFmt w:val="decimal"/>
      <w:suff w:val="nothing"/>
      <w:lvlText w:val="%1）"/>
      <w:lvlJc w:val="left"/>
    </w:lvl>
  </w:abstractNum>
  <w:abstractNum w:abstractNumId="1">
    <w:nsid w:val="659EB354"/>
    <w:multiLevelType w:val="singleLevel"/>
    <w:tmpl w:val="659EB35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658294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94523-0baa-43e0-9b0f-2d76de0407b4}">
  <ds:schemaRefs/>
</ds:datastoreItem>
</file>

<file path=customXml/itemProps3.xml><?xml version="1.0" encoding="utf-8"?>
<ds:datastoreItem xmlns:ds="http://schemas.openxmlformats.org/officeDocument/2006/customXml" ds:itemID="{5276027e-184e-415b-b8a6-c0831fa11953}">
  <ds:schemaRefs/>
</ds:datastoreItem>
</file>

<file path=customXml/itemProps4.xml><?xml version="1.0" encoding="utf-8"?>
<ds:datastoreItem xmlns:ds="http://schemas.openxmlformats.org/officeDocument/2006/customXml" ds:itemID="{4d24041b-4526-4276-8f9d-00f5d527774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2025-07-15T11:46:43Z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6946A4114CF04D3FBA1CBD1A0F028731</vt:lpwstr>
  </property>
</Properties>
</file>