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苏银理财恒源1年定开2009期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苏银理财恒源1年定开2009期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2020年11月18日</w:t>
      </w:r>
      <w:r>
        <w:rPr>
          <w:rFonts w:hint="eastAsia" w:ascii="楷体" w:hAnsi="楷体" w:eastAsia="楷体" w:cs="楷体"/>
        </w:rPr>
        <w:t>成立，于</w:t>
      </w:r>
      <w:r>
        <w:rPr>
          <w:rFonts w:hint="eastAsia" w:ascii="楷体" w:hAnsi="楷体" w:eastAsia="楷体" w:cs="楷体"/>
          <w:spacing w:val="-7"/>
        </w:rPr>
        <w:t>2020年11月18日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苏银理财恒源1年定开2009期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2,482,791,089.06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2,523,340,360.12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31000188000396188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2,803,829,889.71</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111.12%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苏银理财恒源1年定开2009期B</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1.016346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1.096213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1.016459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1.097777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1.017026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1.055004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1.016741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1.054205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1.052597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1.052606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苏银理财恒源1年定开2009期A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1.182211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24.26%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1.61%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25.87%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74.13%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上海信托-武进太湖湾</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270,446,071.69</w:t>
            </w:r>
          </w:p>
        </w:tc>
        <w:tc>
          <w:tcPr>
            <w:tcW w:w="1800" w:type="dxa"/>
          </w:tcPr>
          <w:p>
            <w:pPr>
              <w:jc w:val="center"/>
              <w:rPr>
                <w:rFonts w:hint="eastAsia" w:ascii="楷体" w:hAnsi="楷体" w:eastAsia="楷体" w:cs="楷体"/>
                <w:sz w:val="22"/>
              </w:rPr>
            </w:pPr>
            <w:r>
              <w:rPr>
                <w:rFonts w:hint="eastAsia" w:ascii="楷体" w:hAnsi="楷体" w:eastAsia="楷体" w:cs="楷体"/>
                <w:sz w:val="22"/>
              </w:rPr>
              <w:t>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247,449,607.67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230,244,583.43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201,107,945.27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重庆信托-融源4号-金坛建设-1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120,198,142.67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23崇川02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103,891,894.52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24漳九02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102,398,105.48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95,708,052.54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富国中债7-10年政策性金融债ETF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80,285,158.80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24东部01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61,736,346.58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江苏武进太湖湾旅游发展有限公司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上海信托-武进太湖湾</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247,000,000.00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sz w:val="22"/>
                <w:szCs w:val="24"/>
              </w:rPr>
              <w:t>江苏金坛建设集团有限公司</w:t>
            </w:r>
            <w:bookmarkStart w:id="1" w:name="_GoBack"/>
            <w:bookmarkEnd w:id="1"/>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重庆信托-融源4号-金坛建设-1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江苏武进太湖湾旅游发展有限公司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2003-10-09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1,195,000,000.00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2002-09-03</w:t>
            </w:r>
          </w:p>
        </w:tc>
        <w:tc>
          <w:tcPr>
            <w:tcW w:w="1263"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5</w:t>
            </w:r>
            <w:r>
              <w:rPr>
                <w:rFonts w:hint="eastAsia" w:ascii="楷体" w:hAnsi="楷体" w:eastAsia="楷体"/>
                <w:sz w:val="22"/>
                <w:szCs w:val="24"/>
                <w:lang w:val="en-US" w:eastAsia="zh-CN"/>
              </w:rPr>
              <w:t>,000,00</w:t>
            </w:r>
            <w:r>
              <w:rPr>
                <w:rFonts w:hint="eastAsia" w:ascii="楷体" w:hAnsi="楷体" w:eastAsia="楷体"/>
                <w:sz w:val="22"/>
                <w:szCs w:val="24"/>
              </w:rPr>
              <w:t>0,000.00</w:t>
            </w:r>
          </w:p>
        </w:tc>
        <w:tc>
          <w:tcPr>
            <w:tcW w:w="4746"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2012-05-28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29,685,261.22</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532,666.67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126,471.78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2,482,791,089.06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2,482,791,089.06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8A4F4C"/>
    <w:multiLevelType w:val="singleLevel"/>
    <w:tmpl w:val="BE8A4F4C"/>
    <w:lvl w:ilvl="0" w:tentative="0">
      <w:start w:val="3"/>
      <w:numFmt w:val="decimal"/>
      <w:suff w:val="nothing"/>
      <w:lvlText w:val="%1）"/>
      <w:lvlJc w:val="left"/>
    </w:lvl>
  </w:abstractNum>
  <w:abstractNum w:abstractNumId="1">
    <w:nsid w:val="1BCBBCF0"/>
    <w:multiLevelType w:val="singleLevel"/>
    <w:tmpl w:val="1BCBBCF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21168C4"/>
    <w:rsid w:val="2C1344D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77d773-eab4-4b8c-a41a-46cb12ec42b8}">
  <ds:schemaRefs/>
</ds:datastoreItem>
</file>

<file path=customXml/itemProps3.xml><?xml version="1.0" encoding="utf-8"?>
<ds:datastoreItem xmlns:ds="http://schemas.openxmlformats.org/officeDocument/2006/customXml" ds:itemID="{d7d8bdd0-c779-4b05-a146-3b78728453a2}">
  <ds:schemaRefs/>
</ds:datastoreItem>
</file>

<file path=customXml/itemProps4.xml><?xml version="1.0" encoding="utf-8"?>
<ds:datastoreItem xmlns:ds="http://schemas.openxmlformats.org/officeDocument/2006/customXml" ds:itemID="{00169bc1-c9fd-4b38-bc57-f58f58d7e83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2025-07-16T02:52:22Z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312FD871C5E54162932777D1507D50A0</vt:lpwstr>
  </property>
</Properties>
</file>