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苏银理财恒源日申半年持有1号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苏银理财恒源日申半年持有1号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2018年08月15日</w:t>
      </w:r>
      <w:r>
        <w:rPr>
          <w:rFonts w:hint="eastAsia" w:ascii="楷体" w:hAnsi="楷体" w:eastAsia="楷体" w:cs="楷体"/>
        </w:rPr>
        <w:t>成立，于</w:t>
      </w:r>
      <w:r>
        <w:rPr>
          <w:rFonts w:hint="eastAsia" w:ascii="楷体" w:hAnsi="楷体" w:eastAsia="楷体" w:cs="楷体"/>
          <w:spacing w:val="-7"/>
        </w:rPr>
        <w:t>2018年08月15日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苏银理财恒源日申半年持有1号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22,354,066,410.74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25,498,199,701.62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31000188000310186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27,006,976,646.87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105.92%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苏银理财恒源日申半年持有1号Q</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1.140027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1.140027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2.15%-3.75%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苏银理财恒源日申半年持有1号Z</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1.140573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1.140573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1.140155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1.140155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1.139571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1.139571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1.140019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1.140019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1.132718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1.132718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1.137537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1.137537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1.138158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1.138158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1.135721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1.135721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1.148192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1.148192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2.00%-3.60%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77.46%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9.95%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87.41%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12.59%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2,517,889,549.15</w:t>
            </w:r>
          </w:p>
        </w:tc>
        <w:tc>
          <w:tcPr>
            <w:tcW w:w="1800" w:type="dxa"/>
          </w:tcPr>
          <w:p>
            <w:pPr>
              <w:jc w:val="center"/>
              <w:rPr>
                <w:rFonts w:hint="eastAsia" w:ascii="楷体" w:hAnsi="楷体" w:eastAsia="楷体" w:cs="楷体"/>
                <w:sz w:val="22"/>
              </w:rPr>
            </w:pPr>
            <w:r>
              <w:rPr>
                <w:rFonts w:hint="eastAsia" w:ascii="楷体" w:hAnsi="楷体" w:eastAsia="楷体" w:cs="楷体"/>
                <w:sz w:val="22"/>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24安徽39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592,139,397.25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24陕西20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448,984,382.18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429,338,688.11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25交通银行CD100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395,019,647.12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354,052,634.80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南方上证基准做市公司债ETF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312,382,616.00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25中信银行CD110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296,268,084.66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25建设银行CD245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295,636,926.99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24山西25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241,352,705.47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102582451.IB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25钟楼新城MTN001</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199,874,606.78</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247,794,108.04</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299,367,727.12</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243,547,216.50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ZZGL202505211221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华泰银泰精选16号集合资产管理计划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ZZGL202506091241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华泰银泰精选17号集合资产管理计划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45,000,000.00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42,639,881.30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4,264,002.70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1,108,918.47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22,354,066,410.74</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16,911,946,583.21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二季度经济景气度虽有所回落，但仍顶住压力、迎难而上，呈现出总体平稳、稳中向好的态势。由于特朗普关税事件的持续发酵，外部不稳定不确定因素较多，国内有效需求不足，经济回升向好基础仍需加力巩固。</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在债券收益率整体下行的背景下，产品保持合理的组合久期，并通过债券交易增厚资本利得，取得了较为稳健的收益。</w:t>
      </w:r>
    </w:p>
    <w:p>
      <w:pPr>
        <w:ind w:firstLine="420" w:firstLineChars="200"/>
        <w:rPr>
          <w:rFonts w:hint="eastAsia" w:ascii="楷体" w:hAnsi="楷体" w:eastAsia="楷体" w:cs="楷体"/>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ind w:firstLine="420" w:firstLineChars="200"/>
        <w:rPr>
          <w:rFonts w:hint="default"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进入三季度，市场或继续博弈央行重启买债等宽松措施落地的预期，资金价格和短债利率继续下行有望打开长债利率下行空间。同时，也需要密切关注中美谈判进展超预期，重要会议政策超预期的风险。</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产品严控信用风险，精选高等级信用债券进行投资，在对国内外宏观经济态势、利率走势、收益率曲线变化趋势等因素的综合研判的基础上，通过利率债、CD、银行二永债等债券的交易，逐步优化组合久期。产品持续优化组合配置，力求获得稳健的投资收益。</w:t>
      </w:r>
    </w:p>
    <w:p>
      <w:pPr>
        <w:ind w:firstLine="420" w:firstLineChars="200"/>
        <w:rPr>
          <w:rFonts w:hint="eastAsia" w:ascii="楷体" w:hAnsi="楷体" w:eastAsia="楷体" w:cs="楷体"/>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流动性风险方面，本产品持仓资产以标准化债权类资产为主，变现能力较强，同时注重调优持仓结构，确保流动性处于合理水平。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bookmarkStart w:id="1" w:name="_GoBack"/>
      <w:bookmarkEnd w:id="1"/>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2BF6AB"/>
    <w:multiLevelType w:val="singleLevel"/>
    <w:tmpl w:val="252BF6AB"/>
    <w:lvl w:ilvl="0" w:tentative="0">
      <w:start w:val="3"/>
      <w:numFmt w:val="chineseCounting"/>
      <w:suff w:val="nothing"/>
      <w:lvlText w:val="（%1）"/>
      <w:lvlJc w:val="left"/>
      <w:rPr>
        <w:rFonts w:hint="eastAsia"/>
      </w:rPr>
    </w:lvl>
  </w:abstractNum>
  <w:abstractNum w:abstractNumId="1">
    <w:nsid w:val="4AD1D84F"/>
    <w:multiLevelType w:val="singleLevel"/>
    <w:tmpl w:val="4AD1D84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362037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3c84d1-dab9-44cc-a033-b069887b829c}">
  <ds:schemaRefs/>
</ds:datastoreItem>
</file>

<file path=customXml/itemProps3.xml><?xml version="1.0" encoding="utf-8"?>
<ds:datastoreItem xmlns:ds="http://schemas.openxmlformats.org/officeDocument/2006/customXml" ds:itemID="{929731d1-6543-4818-a2d6-788d1410392f}">
  <ds:schemaRefs/>
</ds:datastoreItem>
</file>

<file path=customXml/itemProps4.xml><?xml version="1.0" encoding="utf-8"?>
<ds:datastoreItem xmlns:ds="http://schemas.openxmlformats.org/officeDocument/2006/customXml" ds:itemID="{bcba99ee-44ed-4c79-9859-b387a5c9d63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5</Pages>
  <Words>2304</Words>
  <Characters>3379</Characters>
  <Lines>19</Lines>
  <Paragraphs>5</Paragraphs>
  <TotalTime>1</TotalTime>
  <ScaleCrop>false</ScaleCrop>
  <LinksUpToDate>false</LinksUpToDate>
  <CharactersWithSpaces>3395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2025-07-15T11:25:00Z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C63357ECA2E244B0A1F3BF35865A96C8</vt:lpwstr>
  </property>
</Properties>
</file>