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苏银理财恒源融达1号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苏银理财恒源融达1号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2018年09月04日</w:t>
      </w:r>
      <w:r>
        <w:rPr>
          <w:rFonts w:hint="eastAsia" w:ascii="楷体" w:hAnsi="楷体" w:eastAsia="楷体" w:cs="楷体"/>
        </w:rPr>
        <w:t>成立，于</w:t>
      </w:r>
      <w:r>
        <w:rPr>
          <w:rFonts w:hint="eastAsia" w:ascii="楷体" w:hAnsi="楷体" w:eastAsia="楷体" w:cs="楷体"/>
          <w:spacing w:val="-7"/>
        </w:rPr>
        <w:t>2018年09月04日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苏银理财恒源融达1号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62,598,787,162.96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84,066,680,126.41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31000188000310432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89,783,279,438.17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106.80%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苏银理财恒源融达1号6月JS鑫福款</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1.344761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1.344761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苏银理财恒源融达1号6月（碳账户专享）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1.344916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1.344916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苏银理财恒源融达1号6月（芙蓉锦程·优选）</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1.341757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1.341757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苏银理财恒源融达1号6月Z</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1.342251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1.342251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苏银理财恒源融达1号6月Q</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1.341562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1.341562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苏银理财恒源融达1号6月S</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苏银理财恒源融达1号6月H</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苏银理财恒源融达1号6月（芙蓉锦程·优选-尊享款）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1.342944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1.342944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苏银理财恒源融达1号6月E50</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苏银理财恒源融达1号6月F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1.34299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65.35%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14.77%</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0.04%</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0.16%</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80.32%</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19.68%</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2,470,804,822.13</w:t>
            </w:r>
          </w:p>
        </w:tc>
        <w:tc>
          <w:tcPr>
            <w:tcW w:w="1800" w:type="dxa"/>
          </w:tcPr>
          <w:p>
            <w:pPr>
              <w:jc w:val="center"/>
              <w:rPr>
                <w:rFonts w:hint="eastAsia" w:ascii="楷体" w:hAnsi="楷体" w:eastAsia="楷体" w:cs="楷体"/>
                <w:sz w:val="22"/>
              </w:rPr>
            </w:pPr>
            <w:r>
              <w:rPr>
                <w:rFonts w:hint="eastAsia" w:ascii="楷体" w:hAnsi="楷体" w:eastAsia="楷体" w:cs="楷体"/>
                <w:sz w:val="22"/>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招银优1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2,344,640,069.80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农行南京东门街支行20231215/15亿</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1,388,322,409.58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杭银优1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1,160,786,780.16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建行优1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998,290,854.26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工商银行宜兴支行20（20230728）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948,022,972.23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工商银行海州支行20（20230728）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948,022,972.23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农行沭阳支行20231215/10亿</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925,548,271.97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建行南京六合支行20231215/10亿-02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919,109,288.91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农业银行如皋市支行16（20230728）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757,541,543.78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032501226.IB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25宿城国资PPN008</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165,000.00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16,500,000.00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102582450.IB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25毅达资本MTN001(科创债)</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795,434,998.54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554,069,875.63</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555,000,000.00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129,217,844.39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254,326,130.12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ZZGL202506091241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华泰银泰精选17号集合资产管理计划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283,000,073.00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102,326,218.36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17,861,015.45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4,066,177.76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300,000,300.00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692,422,272.66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苏银理财恒源融达1号6月E50</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678,027,833.51</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62,598,787,162.96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59,705,453,380.49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ascii="楷体" w:hAnsi="楷体" w:cs="Times New Roman"/>
          <w:b w:val="0"/>
          <w:sz w:val="21"/>
        </w:rPr>
      </w:pPr>
      <w:r>
        <w:rPr>
          <w:rFonts w:hint="eastAsia" w:ascii="楷体" w:hAnsi="楷体" w:cs="Times New Roman"/>
          <w:b w:val="0"/>
          <w:sz w:val="21"/>
          <w:lang w:val="en-US" w:eastAsia="zh-CN"/>
        </w:rPr>
        <w:t>1、</w:t>
      </w:r>
      <w:r>
        <w:rPr>
          <w:rFonts w:ascii="楷体" w:hAnsi="楷体" w:cs="Times New Roman"/>
          <w:b w:val="0"/>
          <w:sz w:val="21"/>
        </w:rPr>
        <w:t>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二季度债市在超预期关税驱动下先是急涨，随后进入震荡格局。期间，关税作为宏观层面的主要矛盾，前期债市主要围绕关税谈判本身进行博弈，并在首次谈判促进税率下调后出现回调；后期则主要围绕关税影响寻找方向，即关税客观上导致经济边际走弱和资金面持续宽松，收益率重新向季初低点回落。</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4月初，特朗普政府“对等关税”意外冲击全球市场，关税政策的落地和加税幅度超出市场预期，从风险偏好、基本面以及随之而来的政策应对举措等维度全方面影响债市投资者的预期，10年、30年活跃利率债快速下行接近前低。虽然后续中美在日内瓦、伦敦达成了缓和关税冲突的协定，但利率仅出现短期扰动，并未持续上行、回到或接近关税冲突前的点位。事后看，“对等关税”对债市的影响相对加速了、阶段性加深了此前基于“基本面阶段性压力-狭义流动性趋松”的看多逻辑，因此快速下行后，5-6月无风险收益率逐渐趋于震荡，波动率大幅下降。</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default" w:ascii="Times New Roman" w:hAnsi="Times New Roman" w:cs="Times New Roman"/>
          <w:b w:val="0"/>
          <w:sz w:val="21"/>
        </w:rPr>
      </w:pPr>
      <w:r>
        <w:rPr>
          <w:rFonts w:hint="eastAsia" w:ascii="楷体" w:hAnsi="楷体" w:cs="Times New Roman"/>
          <w:b w:val="0"/>
          <w:sz w:val="21"/>
        </w:rPr>
        <w:t>随着资金价格中枢逐步下行，债市对宽松的定价逐步深化，主要体现在：1）信用利差明显压缩，5月12日以来，5年中债隐含评级AA（2）城投债信用利差累计下行超15bp；2）长期信用债活跃度提升、利率新老券利差压缩</w:t>
      </w:r>
      <w:r>
        <w:rPr>
          <w:rFonts w:hint="default" w:ascii="楷体" w:hAnsi="楷体" w:cs="Times New Roman"/>
          <w:b w:val="0"/>
          <w:sz w:val="21"/>
        </w:rPr>
        <w:t>。</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rPr>
        <w:t>融达1号通过对国内外宏观经济态势、利率走势、收益率曲线变化趋势和信用风险变化等因素进行综合分析，</w:t>
      </w:r>
      <w:r>
        <w:rPr>
          <w:rFonts w:hint="eastAsia" w:ascii="楷体" w:hAnsi="楷体" w:cs="Times New Roman"/>
          <w:b w:val="0"/>
          <w:sz w:val="21"/>
          <w:lang w:val="en-US" w:eastAsia="zh-CN"/>
        </w:rPr>
        <w:t>二</w:t>
      </w:r>
      <w:r>
        <w:rPr>
          <w:rFonts w:hint="eastAsia" w:ascii="楷体" w:hAnsi="楷体" w:cs="Times New Roman"/>
          <w:b w:val="0"/>
          <w:sz w:val="21"/>
        </w:rPr>
        <w:t>季度重点增加利率债交易，力求提高组合收益。</w:t>
      </w:r>
    </w:p>
    <w:p>
      <w:pPr>
        <w:rPr>
          <w:rFonts w:hint="eastAsia"/>
        </w:rPr>
      </w:pPr>
    </w:p>
    <w:p>
      <w:pPr>
        <w:pStyle w:val="2"/>
        <w:rPr>
          <w:rFonts w:ascii="楷体" w:hAnsi="楷体" w:cs="Times New Roman"/>
          <w:b w:val="0"/>
          <w:sz w:val="21"/>
        </w:rPr>
      </w:pPr>
      <w:r>
        <w:rPr>
          <w:rFonts w:hint="eastAsia" w:ascii="楷体" w:hAnsi="楷体" w:cs="Times New Roman"/>
          <w:b w:val="0"/>
          <w:sz w:val="21"/>
          <w:lang w:val="en-US" w:eastAsia="zh-CN"/>
        </w:rPr>
        <w:t>2、</w:t>
      </w:r>
      <w:r>
        <w:rPr>
          <w:rFonts w:ascii="楷体" w:hAnsi="楷体" w:cs="Times New Roman"/>
          <w:b w:val="0"/>
          <w:sz w:val="21"/>
        </w:rPr>
        <w:t>后市展望及下阶段投资策略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当前债市处于拥挤高、赔率低、预期一致、多空力量均衡的局面，大概率维持震荡的走势，波动率预计保持低位，诸如关税、基本面、供给、降准降息等潜在的事件节点的增量信息均相对较为有限，因此久期策略需要保持灵活，对波动率需要有一定的前瞻判断，以匹配入场时点。利差方面，流动性平稳宽松叠加无风险利率空间受限的背景下，利差策略仍有空间，但也要注意赔率的问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本组合将根据市场情况择机参与交易机会，致力于为广大投资者创造长期稳健的投资回报。</w:t>
      </w:r>
    </w:p>
    <w:p>
      <w:pPr>
        <w:rPr>
          <w:rFonts w:hint="eastAsia"/>
        </w:rPr>
      </w:pPr>
    </w:p>
    <w:p>
      <w:pPr>
        <w:pStyle w:val="2"/>
        <w:rPr>
          <w:rFonts w:ascii="楷体" w:hAnsi="楷体" w:cs="Times New Roman"/>
          <w:b w:val="0"/>
          <w:sz w:val="21"/>
        </w:rPr>
      </w:pPr>
      <w:r>
        <w:rPr>
          <w:rFonts w:hint="eastAsia" w:ascii="楷体" w:hAnsi="楷体" w:cs="Times New Roman"/>
          <w:b w:val="0"/>
          <w:sz w:val="21"/>
          <w:lang w:val="en-US" w:eastAsia="zh-CN"/>
        </w:rPr>
        <w:t>3、</w:t>
      </w:r>
      <w:r>
        <w:rPr>
          <w:rFonts w:ascii="楷体" w:hAnsi="楷体" w:cs="Times New Roman"/>
          <w:b w:val="0"/>
          <w:sz w:val="21"/>
        </w:rPr>
        <w:t>流动性风险分析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流动性风险方面，本产品持仓资产以标准化债权类资</w:t>
      </w:r>
      <w:bookmarkStart w:id="1" w:name="_GoBack"/>
      <w:bookmarkEnd w:id="1"/>
      <w:r>
        <w:rPr>
          <w:rFonts w:hint="eastAsia" w:ascii="楷体" w:hAnsi="楷体" w:eastAsia="楷体" w:cs="Times New Roman"/>
          <w:b w:val="0"/>
          <w:bCs/>
          <w:kern w:val="0"/>
          <w:sz w:val="21"/>
          <w:szCs w:val="21"/>
          <w:lang w:val="en-US" w:eastAsia="zh-CN" w:bidi="ar-SA"/>
        </w:rPr>
        <w:t>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374AC"/>
    <w:multiLevelType w:val="singleLevel"/>
    <w:tmpl w:val="B08374AC"/>
    <w:lvl w:ilvl="0" w:tentative="0">
      <w:start w:val="3"/>
      <w:numFmt w:val="chineseCounting"/>
      <w:suff w:val="nothing"/>
      <w:lvlText w:val="（%1）"/>
      <w:lvlJc w:val="left"/>
      <w:rPr>
        <w:rFonts w:hint="eastAsia"/>
      </w:rPr>
    </w:lvl>
  </w:abstractNum>
  <w:abstractNum w:abstractNumId="1">
    <w:nsid w:val="07F5BCC3"/>
    <w:multiLevelType w:val="singleLevel"/>
    <w:tmpl w:val="07F5BCC3"/>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2A4602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c1863-27c5-4b78-b74a-92574b1b6e99}">
  <ds:schemaRefs/>
</ds:datastoreItem>
</file>

<file path=customXml/itemProps3.xml><?xml version="1.0" encoding="utf-8"?>
<ds:datastoreItem xmlns:ds="http://schemas.openxmlformats.org/officeDocument/2006/customXml" ds:itemID="{c7d396c2-7583-4c12-8bf6-d4d16807d839}">
  <ds:schemaRefs/>
</ds:datastoreItem>
</file>

<file path=customXml/itemProps4.xml><?xml version="1.0" encoding="utf-8"?>
<ds:datastoreItem xmlns:ds="http://schemas.openxmlformats.org/officeDocument/2006/customXml" ds:itemID="{583216ce-e9ce-47fd-ba3e-82cc294a923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3</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2025-07-15T11:18:19Z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FCA151C968C841B0B5E9D179F56A60B9</vt:lpwstr>
  </property>
</Properties>
</file>