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苏银理财恒源1年定开6期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苏银理财恒源1年定开6期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2021年04月07日</w:t>
      </w:r>
      <w:r>
        <w:rPr>
          <w:rFonts w:hint="eastAsia" w:ascii="楷体" w:hAnsi="楷体" w:eastAsia="楷体" w:cs="楷体"/>
        </w:rPr>
        <w:t>成立，于</w:t>
      </w:r>
      <w:r>
        <w:rPr>
          <w:rFonts w:hint="eastAsia" w:ascii="楷体" w:hAnsi="楷体" w:eastAsia="楷体" w:cs="楷体"/>
          <w:spacing w:val="-7"/>
        </w:rPr>
        <w:t>2021年04月07日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2,118,036,657.36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2,128,844,662.67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31000188000419402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2,224,252,463.74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104.48%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苏银理财恒源1年定开6期P</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1.005288</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1.005288</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1.005274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1.005274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1.004954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1.004954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1.005354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1.005354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1.038589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1.036837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1.037421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1.005154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1.038005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1.005153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1.038004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1.036837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1.036837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1.165195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苏银理财恒源1年定开6期B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1.167702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20.59%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20.59%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79.41%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江苏信托-宁享16号-锡山资产</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190,361,468.62</w:t>
            </w:r>
          </w:p>
        </w:tc>
        <w:tc>
          <w:tcPr>
            <w:tcW w:w="1800" w:type="dxa"/>
          </w:tcPr>
          <w:p>
            <w:pPr>
              <w:jc w:val="center"/>
              <w:rPr>
                <w:rFonts w:hint="eastAsia" w:ascii="楷体" w:hAnsi="楷体" w:eastAsia="楷体" w:cs="楷体"/>
                <w:sz w:val="22"/>
              </w:rPr>
            </w:pPr>
            <w:r>
              <w:rPr>
                <w:rFonts w:hint="eastAsia" w:ascii="楷体" w:hAnsi="楷体" w:eastAsia="楷体" w:cs="楷体"/>
                <w:sz w:val="22"/>
              </w:rPr>
              <w:t>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外贸信托臻璟系列集合资金信托计划37期（放心借小微）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140,538,022.02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交银国信-蓝色睿投8号（放心借）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120,500,843.94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华鑫信托-嘉盈和颜98号-蚂蚁花呗-第五期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110,476,164.58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大成深证基准做市信用债ETF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100,948,244.00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北方信托-高启1号-2期-高淳老街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100,475,483.42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天弘深证基准做市信用债ETF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100,039,500.00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74,037,665.33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陆家嘴信托-苏睿35号集合资金信托计划-泰州医药城控股集团有限公司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70,205,380.98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64,430,764.30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无锡锡山资产经营管理有限公司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江苏信托-宁享16号-锡山资产</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332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外贸信托臻璟系列集合资金信托计划37期（放心借小微）</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325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交银国信-蓝色睿投8号（放心借）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华鑫信托-嘉盈和颜98号-蚂蚁花呗-第五期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南京高淳老街旅游开发股份有限公司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北方信托-高启1号-2期-高淳老街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泰州医药城控股集团有限公司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陆家嘴信托-苏睿35号集合资金信托计划-泰州医药城控股集团有限公司</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江苏钟吾城乡投资发展集团有限公司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重庆信托-钟吾城乡集合资金信托计划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泰州国控投资集团有限公司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国投泰康信托远望234号集合资金信托计划-第1期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泰州国控投资集团有限公司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2021-07-14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6,000,000,000.00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泰州医药城控股集团有限公司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2014-01-28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单位后勤管理服务；租赁服务(不含许可类租赁服务)；教学专用仪器销售；第一类医疗器械销售；工程管理服务；日用百货销售；住房租赁；技术服务、技术开发、技术咨询、技术交流、技术转让、技术推广；金属材料销售；金属结构销售；建筑用金属配件销售；建筑用钢筋产品销售；有色金属合金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江苏钟吾城乡投资发展集团有限公司</w:t>
            </w:r>
          </w:p>
        </w:tc>
        <w:tc>
          <w:tcPr>
            <w:tcW w:w="1399" w:type="dxa"/>
            <w:tcBorders>
              <w:top w:val="single" w:color="auto" w:sz="4" w:space="0"/>
              <w:left w:val="single" w:color="auto" w:sz="4" w:space="0"/>
              <w:bottom w:val="single" w:color="auto" w:sz="4" w:space="0"/>
              <w:right w:val="single" w:color="auto" w:sz="4" w:space="0"/>
            </w:tcBorders>
            <w:vAlign w:val="top"/>
          </w:tcPr>
          <w:p>
            <w:pPr>
              <w:jc w:val="center"/>
            </w:pPr>
            <w:r>
              <w:rPr>
                <w:rFonts w:hint="eastAsia" w:ascii="楷体" w:hAnsi="楷体" w:eastAsia="楷体" w:cs="楷体"/>
                <w:sz w:val="22"/>
              </w:rPr>
              <w:t>2010-07-26</w:t>
            </w:r>
          </w:p>
        </w:tc>
        <w:tc>
          <w:tcPr>
            <w:tcW w:w="1263" w:type="dxa"/>
            <w:tcBorders>
              <w:top w:val="single" w:color="auto" w:sz="4" w:space="0"/>
              <w:left w:val="single" w:color="auto" w:sz="4" w:space="0"/>
              <w:bottom w:val="single" w:color="auto" w:sz="4" w:space="0"/>
              <w:right w:val="single" w:color="auto" w:sz="4" w:space="0"/>
            </w:tcBorders>
            <w:vAlign w:val="top"/>
          </w:tcPr>
          <w:p>
            <w:pPr>
              <w:jc w:val="center"/>
            </w:pPr>
            <w:r>
              <w:rPr>
                <w:rFonts w:hint="eastAsia" w:ascii="楷体" w:hAnsi="楷体" w:eastAsia="楷体" w:cs="楷体"/>
                <w:sz w:val="22"/>
              </w:rPr>
              <w:t>2</w:t>
            </w:r>
            <w:r>
              <w:rPr>
                <w:rFonts w:hint="eastAsia" w:ascii="楷体" w:hAnsi="楷体" w:eastAsia="楷体" w:cs="楷体"/>
                <w:sz w:val="22"/>
                <w:lang w:val="en-US" w:eastAsia="zh-CN"/>
              </w:rPr>
              <w:t>,0</w:t>
            </w:r>
            <w:r>
              <w:rPr>
                <w:rFonts w:hint="eastAsia" w:ascii="楷体" w:hAnsi="楷体" w:eastAsia="楷体" w:cs="楷体"/>
                <w:sz w:val="22"/>
              </w:rPr>
              <w:t>00,000</w:t>
            </w:r>
            <w:r>
              <w:rPr>
                <w:rFonts w:hint="eastAsia" w:ascii="楷体" w:hAnsi="楷体" w:eastAsia="楷体" w:cs="楷体"/>
                <w:sz w:val="22"/>
                <w:lang w:eastAsia="zh-CN"/>
              </w:rPr>
              <w:t>，</w:t>
            </w:r>
            <w:r>
              <w:rPr>
                <w:rFonts w:hint="eastAsia" w:ascii="楷体" w:hAnsi="楷体" w:eastAsia="楷体" w:cs="楷体"/>
                <w:sz w:val="22"/>
                <w:lang w:val="en-US" w:eastAsia="zh-CN"/>
              </w:rPr>
              <w:t>000</w:t>
            </w:r>
            <w:r>
              <w:rPr>
                <w:rFonts w:hint="eastAsia" w:ascii="楷体" w:hAnsi="楷体" w:eastAsia="楷体" w:cs="楷体"/>
                <w:sz w:val="22"/>
              </w:rPr>
              <w:t>.0000</w:t>
            </w:r>
          </w:p>
        </w:tc>
        <w:tc>
          <w:tcPr>
            <w:tcW w:w="4746" w:type="dxa"/>
            <w:tcBorders>
              <w:top w:val="single" w:color="auto" w:sz="4" w:space="0"/>
              <w:left w:val="single" w:color="auto" w:sz="4" w:space="0"/>
              <w:bottom w:val="single" w:color="auto" w:sz="4" w:space="0"/>
              <w:right w:val="single" w:color="auto" w:sz="4" w:space="0"/>
            </w:tcBorders>
            <w:vAlign w:val="top"/>
          </w:tcPr>
          <w:p>
            <w:pPr>
              <w:jc w:val="center"/>
            </w:pPr>
            <w:r>
              <w:rPr>
                <w:rFonts w:hint="eastAsia" w:ascii="楷体" w:hAnsi="楷体" w:eastAsia="楷体" w:cs="楷体"/>
                <w:sz w:val="22"/>
              </w:rPr>
              <w:t>许可项目：建设工程施工；自来水生产与供应；河道采砂；特种设备检验检测；供暖服务(依法须经批准的项目，经相关部门批准后方可开展经营活动，具体经营项目以审批结果为准)一般项目：股权投资；以自有资金从事投资活动；自有资金投资的资产管理服务；供应链管理服务；融资咨询服务；企业管理；商业综合体管理服务；国内贸易代理；技术服务、技术开发、技术咨询、技术交流、技术转让、技术推广；工程管理服务；市政设施管理；城市绿化管理；园林绿化工程施工；污水处理及其再生利用；光伏发电设备租赁；太阳能发电技术服务；旅游开发项目策划咨询；游览景区管理；住房租赁；租赁服务(不含许可类租赁服务)；酒店管理；选矿；土地整治服务；充电桩销售；物业管理；停车场服务；蔬菜、食用菌等园艺作物种植；农产品的生产、销售、加工、运输、贮藏及其他相关服务；自然生态系统保护管理；生态资源监测；森林固碳服务；节能管理服务；殡葬服务；殡葬设施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南京高淳老街旅游开发股份有限公司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2009-04-10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660,000,000.00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旅游业务；房地产开发经营；餐饮服务；住宿服务；营业性演出；食品销售；食品生产；游艺娱乐活动；小餐饮、小食杂、食品小作坊经营（依法须经批准的项目，经相关部门批准后方可开展经营活动，具体经营项目以审批结果为准）一般项目：旅游开发项目策划咨询；游览景区管理；组织文化艺术交流活动；房屋拆迁服务；土地整治服务；土地使用权租赁；住房租赁；柜台、摊位出租；停车场服务；会议及展览服务；非居住房地产租赁；农副产品销售；以自有资金从事投资活动；休闲观光活动；票务代理服务；物业管理；数字文化创意技术装备销售；文艺创作；园区管理服务；数字创意产品展览展示服务；组织体育表演活动；食品互联网销售（仅销售预包装食品）；互联网销售（除销售需要许可的商品）；工艺美术品及礼仪用品销售（象牙及其制品除外）（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无锡锡山资产经营管理有限公司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2008-10-28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2,071,520,000.00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依法须经批准的项目，经相关部门批准后方可开展经营活动，具体经营项目以审批结果为准）一般项目：自有资金投资的资产管理服务；承包或接受委托经营管理企业（限外国（地区）企业在中国境内从事生产经营活动）；非居住房地产租赁；国内贸易代理；日用玻璃制品销售；针纺织品及原料销售；服装服饰零售；计算机软硬件及辅助设备零售；电子元器件零售；金属材料销售；建筑材料销售；建筑装饰材料销售；工艺美术品及礼仪用品销售（象牙及其制品除外）；日用陶瓷制品销售；木材销售；五金产品零售；橡胶制品销售；塑料制品销售；电子元器件与机电组件设备销售；汽车零配件零售；农副产品销售；日用百货销售；水果种植；花卉种植；谷物种植；蔬菜种植；中草药种植；小微型客车租赁经营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19,986,389.27</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19,982,575.19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122,194,316.66</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240,079.30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72,898.77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41,103,750.69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项目类资产交易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190,000,000.00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2,118,036,657.36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921,311,037.59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rPr>
          <w:rFonts w:hint="eastAsia" w:ascii="楷体" w:hAnsi="楷体" w:eastAsia="楷体" w:cs="楷体"/>
          <w:spacing w:val="9"/>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9"/>
          <w:sz w:val="21"/>
          <w:lang w:val="en-US" w:eastAsia="zh-CN"/>
        </w:rPr>
        <w:t>同时，为了更准确地反应公允价值，本产品将交易所债券估值方法调整为中证估值，以更好地保护投资者权益。</w:t>
      </w:r>
    </w:p>
    <w:p>
      <w:pPr>
        <w:pStyle w:val="4"/>
        <w:spacing w:before="0" w:line="240" w:lineRule="auto"/>
        <w:ind w:left="0" w:right="0" w:firstLine="0" w:firstLineChars="0"/>
        <w:rPr>
          <w:rFonts w:hint="eastAsia" w:ascii="楷体" w:hAnsi="楷体" w:eastAsia="楷体" w:cs="楷体"/>
          <w:spacing w:val="8"/>
          <w:sz w:val="21"/>
        </w:rPr>
      </w:pP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rPr>
          <w:rFonts w:hint="eastAsia" w:ascii="楷体" w:hAnsi="楷体" w:eastAsia="楷体" w:cs="楷体"/>
          <w:bCs/>
          <w:kern w:val="0"/>
          <w:szCs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3"/>
      <w:numFmt w:val="chineseCounting"/>
      <w:suff w:val="nothing"/>
      <w:lvlText w:val="（%1）"/>
      <w:lvlJc w:val="left"/>
      <w:rPr>
        <w:rFonts w:hint="eastAsia"/>
      </w:rPr>
    </w:lvl>
  </w:abstractNum>
  <w:abstractNum w:abstractNumId="1">
    <w:nsid w:val="03D62ECE"/>
    <w:multiLevelType w:val="singleLevel"/>
    <w:tmpl w:val="03D62ECE"/>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08D00C0"/>
    <w:rsid w:val="71C723C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948e28-2d27-487b-abb4-15595c0d30b5}">
  <ds:schemaRefs/>
</ds:datastoreItem>
</file>

<file path=customXml/itemProps3.xml><?xml version="1.0" encoding="utf-8"?>
<ds:datastoreItem xmlns:ds="http://schemas.openxmlformats.org/officeDocument/2006/customXml" ds:itemID="{223a9a21-b400-4616-9225-f437769bf876}">
  <ds:schemaRefs/>
</ds:datastoreItem>
</file>

<file path=customXml/itemProps4.xml><?xml version="1.0" encoding="utf-8"?>
<ds:datastoreItem xmlns:ds="http://schemas.openxmlformats.org/officeDocument/2006/customXml" ds:itemID="{867a8fdc-66f9-4530-9eb2-5586f9e2255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2025-07-17T02:35:19Z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970B61CB20B1468AB123E33A247FDD74</vt:lpwstr>
  </property>
</Properties>
</file>