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2,301,372,325.00份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中信信托有限责任公司,交银国际信托有限公司,国投泰康信托有限公司,广东粤财信托有限公司,百瑞信托有限责任公司,紫金信托有限责任公司,江苏省国际信托有限责任公司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954,475,725.02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580,572,573.17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283,621,576.03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93,145,605.52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205,459,620.10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33,638,830.10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177,299,437.53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截至报告期末，本产品Y30203份额净值为1.0113元，Y31203份额净值为1.0117元，Y32203份额净值为1.0121元，Y34203份额净值为1.0121元，Y35203份额净值为1.0117元，Y36203份额净值为1.0121元，Y38203份额净值为1.0119元。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525,070,197.47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501,495,865.00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406,619,496.17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395,145,814.79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304,366,845.00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130,290,847.70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69,613,503.15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产品支付关联方托管费0.00元，支付关联方代销费184,437.75元。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