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3B24A6">
      <w:pPr>
        <w:spacing w:before="240" w:after="72" w:line="360" w:lineRule="auto"/>
        <w:rPr>
          <w:rFonts w:asciiTheme="minorEastAsia" w:eastAsiaTheme="minorEastAsia" w:hAnsiTheme="minorEastAsia"/>
        </w:rPr>
      </w:pP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南银理财珠联璧合鑫逸稳一年184期封闭式公募人民币理财产品</w:t>
      </w:r>
    </w:p>
    <w:p w:rsidR="003B24A6" w:rsidRDefault="00C912CD">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2024年第4季度报告</w:t>
      </w: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3B24A6">
      <w:pPr>
        <w:spacing w:before="240" w:after="72" w:line="360" w:lineRule="auto"/>
        <w:jc w:val="center"/>
        <w:rPr>
          <w:rFonts w:ascii="方正黑体简体" w:eastAsia="方正黑体简体"/>
          <w:sz w:val="36"/>
          <w:szCs w:val="36"/>
        </w:rPr>
      </w:pP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3B24A6" w:rsidRDefault="00C912CD">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3B24A6" w:rsidRDefault="003B24A6">
      <w:pPr>
        <w:spacing w:before="240" w:after="72" w:line="360" w:lineRule="auto"/>
        <w:rPr>
          <w:rFonts w:ascii="方正黑体简体" w:eastAsia="方正黑体简体"/>
          <w:sz w:val="36"/>
          <w:szCs w:val="36"/>
        </w:rPr>
      </w:pPr>
    </w:p>
    <w:p w:rsidR="003B24A6" w:rsidRDefault="003B24A6">
      <w:pPr>
        <w:spacing w:before="240" w:after="72" w:line="360" w:lineRule="auto"/>
        <w:rPr>
          <w:rFonts w:ascii="方正黑体简体" w:eastAsia="方正黑体简体"/>
          <w:sz w:val="36"/>
          <w:szCs w:val="36"/>
        </w:rPr>
      </w:pPr>
    </w:p>
    <w:p w:rsidR="003B24A6" w:rsidRDefault="00C912C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南银理财珠联璧合鑫逸稳一年184期封闭式公募人民币理财产品</w:t>
            </w:r>
          </w:p>
        </w:tc>
      </w:tr>
      <w:tr w:rsidR="003B24A6">
        <w:trPr>
          <w:trHeight w:val="1300"/>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Z7003224000182（投资者可依据该编码在中国理财网www.chinawealth.com.cn查询理财产品相关信息）</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2024年09月19日</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1,181,633,167.00份</w:t>
            </w:r>
          </w:p>
        </w:tc>
      </w:tr>
      <w:tr w:rsidR="003B24A6">
        <w:trPr>
          <w:trHeight w:val="688"/>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上海国际信托有限公司,中信信托有限责任公司,中粮信托有限责任公司,五矿国际信托有限公司,广东粤财信托有限公司,紫金信托有限责任公司,江苏省国际信托有限责任公司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3B24A6">
        <w:trPr>
          <w:trHeight w:val="714"/>
        </w:trPr>
        <w:tc>
          <w:tcPr>
            <w:tcW w:w="2719"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3B24A6" w:rsidRDefault="00C912CD" w:rsidP="007A5648">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3B24A6" w:rsidRDefault="003B24A6">
      <w:pPr>
        <w:spacing w:before="240" w:after="72" w:line="360" w:lineRule="auto"/>
        <w:rPr>
          <w:rFonts w:ascii="方正仿宋_GBK" w:eastAsia="方正仿宋_GBK" w:hAnsi="宋体" w:cs="宋体"/>
          <w:kern w:val="0"/>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§2  主要财务指标</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3B24A6" w:rsidRDefault="00C912CD">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3B24A6">
        <w:trPr>
          <w:trHeight w:val="699"/>
          <w:jc w:val="center"/>
        </w:trPr>
        <w:tc>
          <w:tcPr>
            <w:tcW w:w="1838" w:type="dxa"/>
            <w:vMerge w:val="restart"/>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报告期（2024年10月01日 - 2024年12月31日）</w:t>
            </w:r>
          </w:p>
        </w:tc>
      </w:tr>
      <w:tr w:rsidR="003B24A6">
        <w:trPr>
          <w:trHeight w:val="1697"/>
          <w:jc w:val="center"/>
        </w:trPr>
        <w:tc>
          <w:tcPr>
            <w:tcW w:w="1838" w:type="dxa"/>
            <w:vMerge/>
            <w:vAlign w:val="center"/>
          </w:tcPr>
          <w:p w:rsidR="003B24A6" w:rsidRDefault="003B24A6" w:rsidP="007A5648">
            <w:pPr>
              <w:spacing w:beforeLines="20" w:afterLines="20"/>
              <w:jc w:val="center"/>
              <w:rPr>
                <w:rFonts w:ascii="方正仿宋简体" w:eastAsia="方正仿宋简体"/>
                <w:sz w:val="24"/>
                <w:szCs w:val="24"/>
              </w:rPr>
            </w:pPr>
          </w:p>
        </w:tc>
        <w:tc>
          <w:tcPr>
            <w:tcW w:w="269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1.期末产品最后一个市场交易日资产净值</w:t>
            </w:r>
          </w:p>
        </w:tc>
        <w:tc>
          <w:tcPr>
            <w:tcW w:w="241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2.期末产品最后一个市场交易日份额净值</w:t>
            </w:r>
          </w:p>
        </w:tc>
        <w:tc>
          <w:tcPr>
            <w:tcW w:w="212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629,953,163.58</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220,238,827.35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135,219,312.04</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1.0106</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Y34184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33,433,342.75</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1.0110</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Y36184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9,063,022.81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1.0104</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Y37184</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165,959,378.42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1.0111</w:t>
            </w:r>
          </w:p>
        </w:tc>
      </w:tr>
    </w:tbl>
    <w:p w:rsidR="003B24A6" w:rsidRDefault="00C912CD">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§3  管理人报告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3B24A6" w:rsidRDefault="00C912CD">
      <w:pPr>
        <w:spacing w:before="240" w:after="72" w:line="360" w:lineRule="auto"/>
        <w:rPr>
          <w:rFonts w:ascii="方正仿宋简体" w:eastAsia="方正仿宋简体"/>
          <w:sz w:val="24"/>
          <w:szCs w:val="24"/>
        </w:rPr>
      </w:pPr>
      <w:r>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截至报告期末，本产品Y30184份额净值为1.0100元，Y31184份额净值为1.0103元，Y32184份额净值为1.0106元，Y34184份额净值为1.0110元，Y36184份额净值为1.0104元，Y37184份额净值为1.0111元。</w:t>
      </w:r>
    </w:p>
    <w:p w:rsidR="003B24A6" w:rsidRDefault="003B24A6">
      <w:pPr>
        <w:spacing w:before="240" w:after="72" w:line="360" w:lineRule="auto"/>
        <w:rPr>
          <w:rFonts w:ascii="方正仿宋_GBK" w:eastAsia="方正仿宋_GBK" w:hAnsi="宋体"/>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§4  投资组合报告</w:t>
      </w: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96.79%</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3.21%</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3B24A6">
        <w:tc>
          <w:tcPr>
            <w:tcW w:w="745"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3B24A6" w:rsidRDefault="003B24A6">
      <w:pPr>
        <w:spacing w:before="240" w:after="72" w:line="360" w:lineRule="auto"/>
        <w:rPr>
          <w:rFonts w:ascii="方正仿宋_GBK" w:eastAsia="方正仿宋_GBK"/>
          <w:sz w:val="24"/>
          <w:szCs w:val="24"/>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3B24A6">
        <w:trPr>
          <w:trHeight w:val="1233"/>
          <w:jc w:val="center"/>
        </w:trPr>
        <w:tc>
          <w:tcPr>
            <w:tcW w:w="75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303,286,536.31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25.40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ZJQTT202312130001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299,717,010.68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25.10</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XTDKX202409190004</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199,838,723.31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105,453,407.85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100,400,943.00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XTDKX202409230002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上海信托·盐城大纵湖信托贷款集合资金信托计划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90,415,377.00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7.57</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XTDKX202409270001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79,275,896.44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XTDKX202410290021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粤财信托·瑞兴177号集合资金信托计划第2期</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12,051,718.08</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ZJQTT202301090001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江苏信托鑫盈3号集合资金信托计划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6,003,823.34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0.50</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3B24A6">
        <w:trPr>
          <w:trHeight w:val="1078"/>
          <w:jc w:val="center"/>
        </w:trPr>
        <w:tc>
          <w:tcPr>
            <w:tcW w:w="87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盐城高新区投资集团有限公司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中信信托·兴邦86号固定收益类信托计划第2期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杭州西湖城市建设投资集团有限公司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273</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江苏开晟产业发展集团有限公司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粤财信托·瑞兴177号集合资金信托计划第2期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盐城市大纵湖湖区资源开发有限公司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上海信托·盐城大纵湖信托贷款集合资金信托计划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泰州医药城控股集团有限公司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中粮信托·南盈12号集合资金信托计划（第1期）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269</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常州滨江产城建设发展有限公司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粤财信托·瑞兴167号集合资金信托计划（第1期）</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3B24A6" w:rsidRDefault="003B24A6">
      <w:pPr>
        <w:spacing w:before="240" w:after="72" w:line="360" w:lineRule="auto"/>
        <w:rPr>
          <w:rFonts w:ascii="方正仿宋_GBK" w:eastAsia="方正仿宋_GBK" w:hAnsi="宋体" w:cs="宋体"/>
          <w:sz w:val="24"/>
          <w:szCs w:val="24"/>
          <w:shd w:val="clear" w:color="auto" w:fill="FFFFFF"/>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3B24A6">
        <w:trPr>
          <w:trHeight w:val="584"/>
          <w:jc w:val="center"/>
        </w:trPr>
        <w:tc>
          <w:tcPr>
            <w:tcW w:w="846"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3B24A6" w:rsidRDefault="00C912CD" w:rsidP="007A5648">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0101050000001176</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南京银行南京分行南银理财鑫逸稳一年184期</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3B24A6" w:rsidRDefault="003B24A6">
      <w:pPr>
        <w:spacing w:afterLines="0" w:line="360" w:lineRule="auto"/>
        <w:rPr>
          <w:rFonts w:ascii="方正仿宋_GBK" w:eastAsia="方正仿宋_GBK"/>
          <w:sz w:val="24"/>
          <w:szCs w:val="24"/>
        </w:rPr>
      </w:pPr>
    </w:p>
    <w:p w:rsidR="003B24A6" w:rsidRDefault="003B24A6">
      <w:pPr>
        <w:spacing w:before="240" w:after="72" w:line="360" w:lineRule="auto"/>
        <w:jc w:val="center"/>
        <w:rPr>
          <w:rFonts w:ascii="方正仿宋_GBK" w:eastAsia="方正仿宋_GBK"/>
          <w:b/>
          <w:sz w:val="24"/>
          <w:szCs w:val="24"/>
        </w:rPr>
      </w:pPr>
    </w:p>
    <w:p w:rsidR="003B24A6" w:rsidRDefault="00C912CD">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§6 关联交易情况</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w:t>
      </w:r>
      <w:r>
        <w:rPr>
          <w:rFonts w:ascii="方正仿宋简体" w:eastAsia="方正仿宋简体" w:hAnsi="宋体" w:cs="宋体" w:hint="eastAsia"/>
          <w:color w:val="000000"/>
          <w:kern w:val="0"/>
          <w:sz w:val="24"/>
          <w:szCs w:val="24"/>
        </w:rPr>
        <w:t>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产品投资于关联方作为融资人的非标准化债权类资产业务交易金额0.00元。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产品投资于关联方承销的证券交易金额0.00元。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产品与关联方作为交易对手开展的投融资业务交易金额0.00元。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产品投资关联方作为管理人的资产管理产品交易金额298,000,000.00元。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产品支付关联方托管费0.00元，支付关联方代销费0.00元。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lastRenderedPageBreak/>
        <w:t>产品发生其他关联交易金额0.00元。</w:t>
      </w:r>
    </w:p>
    <w:p w:rsidR="003B24A6" w:rsidRDefault="00C912CD">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报告期内，产品未发生重大关联交易。</w:t>
      </w: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rPr>
          <w:rFonts w:ascii="方正仿宋_GBK" w:eastAsia="方正仿宋_GBK" w:hAnsi="宋体" w:cs="宋体"/>
          <w:kern w:val="0"/>
          <w:sz w:val="24"/>
          <w:szCs w:val="24"/>
        </w:rPr>
      </w:pPr>
    </w:p>
    <w:p w:rsidR="003B24A6" w:rsidRDefault="003B24A6">
      <w:pPr>
        <w:spacing w:before="240" w:after="72" w:line="360" w:lineRule="auto"/>
        <w:jc w:val="right"/>
        <w:rPr>
          <w:rFonts w:ascii="方正仿宋_GBK" w:eastAsia="方正仿宋_GBK"/>
          <w:b/>
          <w:sz w:val="24"/>
          <w:szCs w:val="24"/>
        </w:rPr>
      </w:pP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南银理财有限责任公司</w:t>
      </w:r>
    </w:p>
    <w:p w:rsidR="003B24A6" w:rsidRDefault="00C912CD">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p w:rsidR="003B24A6" w:rsidRDefault="003B24A6">
      <w:pPr>
        <w:spacing w:before="240" w:after="72" w:line="360" w:lineRule="auto"/>
        <w:rPr>
          <w:rFonts w:ascii="方正仿宋_GBK" w:eastAsia="方正仿宋_GBK"/>
          <w:sz w:val="24"/>
          <w:szCs w:val="24"/>
        </w:rPr>
      </w:pPr>
    </w:p>
    <w:p w:rsidR="003B24A6" w:rsidRDefault="003B24A6">
      <w:pPr>
        <w:spacing w:before="240" w:after="72" w:line="360" w:lineRule="auto"/>
        <w:rPr>
          <w:rFonts w:ascii="方正仿宋_GBK" w:eastAsia="方正仿宋_GBK"/>
          <w:sz w:val="24"/>
          <w:szCs w:val="24"/>
        </w:rPr>
      </w:pPr>
    </w:p>
    <w:sectPr w:rsidR="003B24A6" w:rsidSect="003B24A6">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5F87" w:rsidRDefault="00E15F87" w:rsidP="00F948EF">
      <w:pPr>
        <w:spacing w:after="72"/>
      </w:pPr>
      <w:r>
        <w:separator/>
      </w:r>
    </w:p>
  </w:endnote>
  <w:endnote w:type="continuationSeparator" w:id="1">
    <w:p w:rsidR="00E15F87" w:rsidRDefault="00E15F87" w:rsidP="00F948EF">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default"/>
    <w:sig w:usb0="00000000" w:usb1="0000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charset w:val="00"/>
    <w:family w:val="swiss"/>
    <w:pitch w:val="default"/>
    <w:sig w:usb0="A00002EF" w:usb1="4000207B" w:usb2="00000000" w:usb3="00000000" w:csb0="2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E455C5">
    <w:pPr>
      <w:pStyle w:val="a3"/>
      <w:framePr w:wrap="around" w:vAnchor="text" w:hAnchor="margin" w:xAlign="center" w:y="1"/>
      <w:spacing w:after="72"/>
      <w:rPr>
        <w:rStyle w:val="a6"/>
      </w:rPr>
    </w:pPr>
    <w:r>
      <w:fldChar w:fldCharType="begin"/>
    </w:r>
    <w:r w:rsidR="00C912CD">
      <w:rPr>
        <w:rStyle w:val="a6"/>
      </w:rPr>
      <w:instrText xml:space="preserve">PAGE  </w:instrText>
    </w:r>
    <w:r>
      <w:fldChar w:fldCharType="end"/>
    </w:r>
  </w:p>
  <w:p w:rsidR="003B24A6" w:rsidRDefault="003B24A6">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5F87" w:rsidRDefault="00E15F87" w:rsidP="00F948EF">
      <w:pPr>
        <w:spacing w:after="72"/>
      </w:pPr>
      <w:r>
        <w:separator/>
      </w:r>
    </w:p>
  </w:footnote>
  <w:footnote w:type="continuationSeparator" w:id="1">
    <w:p w:rsidR="00E15F87" w:rsidRDefault="00E15F87" w:rsidP="00F948EF">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24A6" w:rsidRDefault="003B24A6">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4A6"/>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9527B"/>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A5648"/>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16B0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26100"/>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770E5"/>
    <w:rsid w:val="00C912CD"/>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15F87"/>
    <w:rsid w:val="00E2696A"/>
    <w:rsid w:val="00E41BB2"/>
    <w:rsid w:val="00E455C5"/>
    <w:rsid w:val="00E463CC"/>
    <w:rsid w:val="00E60602"/>
    <w:rsid w:val="00E66EA9"/>
    <w:rsid w:val="00E76CD6"/>
    <w:rsid w:val="00E80B2A"/>
    <w:rsid w:val="00EA36AD"/>
    <w:rsid w:val="00EB538F"/>
    <w:rsid w:val="00EB5E48"/>
    <w:rsid w:val="00EB6923"/>
    <w:rsid w:val="00EE60F1"/>
    <w:rsid w:val="00EF160C"/>
    <w:rsid w:val="00EF651B"/>
    <w:rsid w:val="00F02F01"/>
    <w:rsid w:val="00F07A35"/>
    <w:rsid w:val="00F11AF8"/>
    <w:rsid w:val="00F12482"/>
    <w:rsid w:val="00F35159"/>
    <w:rsid w:val="00F4518F"/>
    <w:rsid w:val="00F62D3E"/>
    <w:rsid w:val="00F81FB3"/>
    <w:rsid w:val="00F91E69"/>
    <w:rsid w:val="00F948EF"/>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24A6"/>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3B24A6"/>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3B24A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3B24A6"/>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3B24A6"/>
  </w:style>
  <w:style w:type="character" w:customStyle="1" w:styleId="Char">
    <w:name w:val="页脚 Char"/>
    <w:link w:val="a3"/>
    <w:uiPriority w:val="99"/>
    <w:qFormat/>
    <w:locked/>
    <w:rsid w:val="003B24A6"/>
    <w:rPr>
      <w:rFonts w:ascii="Times New Roman" w:hAnsi="Times New Roman" w:cs="Times New Roman"/>
      <w:sz w:val="18"/>
      <w:szCs w:val="18"/>
    </w:rPr>
  </w:style>
  <w:style w:type="character" w:customStyle="1" w:styleId="Char1">
    <w:name w:val="页脚 Char1"/>
    <w:basedOn w:val="a0"/>
    <w:uiPriority w:val="99"/>
    <w:semiHidden/>
    <w:qFormat/>
    <w:rsid w:val="003B24A6"/>
    <w:rPr>
      <w:rFonts w:ascii="Times New Roman" w:eastAsia="宋体" w:hAnsi="Times New Roman" w:cs="Times New Roman"/>
      <w:sz w:val="18"/>
      <w:szCs w:val="18"/>
    </w:rPr>
  </w:style>
  <w:style w:type="paragraph" w:customStyle="1" w:styleId="biaogeleft">
    <w:name w:val="biaoge_left"/>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3B24A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3B24A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3B24A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3B24A6"/>
    <w:pPr>
      <w:jc w:val="both"/>
    </w:pPr>
    <w:rPr>
      <w:rFonts w:ascii="Times New Roman" w:eastAsia="宋体" w:hAnsi="Times New Roman" w:cs="Times New Roman"/>
      <w:kern w:val="2"/>
      <w:sz w:val="21"/>
      <w:szCs w:val="21"/>
    </w:rPr>
  </w:style>
  <w:style w:type="paragraph" w:customStyle="1" w:styleId="biaogeright">
    <w:name w:val="biaoge_right"/>
    <w:basedOn w:val="a"/>
    <w:qFormat/>
    <w:rsid w:val="003B24A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3B24A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3B24A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3B24A6"/>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3B24A6"/>
    <w:rPr>
      <w:rFonts w:ascii="Times New Roman" w:eastAsia="宋体" w:hAnsi="Times New Roman" w:cs="Times New Roman"/>
      <w:sz w:val="18"/>
      <w:szCs w:val="18"/>
    </w:rPr>
  </w:style>
  <w:style w:type="paragraph" w:styleId="a7">
    <w:name w:val="Body Text"/>
    <w:basedOn w:val="a"/>
    <w:link w:val="Char2"/>
    <w:uiPriority w:val="1"/>
    <w:qFormat/>
    <w:rsid w:val="00F948EF"/>
    <w:pPr>
      <w:autoSpaceDE w:val="0"/>
      <w:autoSpaceDN w:val="0"/>
      <w:spacing w:afterLines="0"/>
      <w:jc w:val="left"/>
    </w:pPr>
    <w:rPr>
      <w:rFonts w:ascii="宋体" w:hAnsi="宋体" w:cs="宋体"/>
      <w:kern w:val="0"/>
      <w:szCs w:val="21"/>
      <w:lang w:val="zh-CN" w:bidi="zh-CN"/>
    </w:rPr>
  </w:style>
  <w:style w:type="character" w:customStyle="1" w:styleId="Char2">
    <w:name w:val="正文文本 Char"/>
    <w:basedOn w:val="a0"/>
    <w:link w:val="a7"/>
    <w:uiPriority w:val="1"/>
    <w:rsid w:val="00F948EF"/>
    <w:rPr>
      <w:rFonts w:ascii="宋体" w:eastAsia="宋体" w:hAnsi="宋体" w:cs="宋体"/>
      <w:sz w:val="21"/>
      <w:szCs w:val="21"/>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320</Words>
  <Characters>1824</Characters>
  <Application>Microsoft Office Word</Application>
  <DocSecurity>0</DocSecurity>
  <Lines>15</Lines>
  <Paragraphs>4</Paragraphs>
  <ScaleCrop>false</ScaleCrop>
  <Company>cc</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2025-01-14T08:15:00Z</dcterms:modified>
  <cp:revision>121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