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42A0F">
      <w:pPr>
        <w:widowControl/>
        <w:spacing w:before="156"/>
        <w:jc w:val="center"/>
        <w:rPr>
          <w:rFonts w:ascii="黑体" w:hAnsi="黑体" w:eastAsia="黑体"/>
          <w:b/>
          <w:sz w:val="28"/>
          <w:szCs w:val="28"/>
        </w:rPr>
      </w:pPr>
      <w:permStart w:id="0" w:edGrp="everyone"/>
      <w:r>
        <w:rPr>
          <w:rFonts w:hint="eastAsia" w:ascii="黑体" w:hAnsi="黑体" w:eastAsia="黑体"/>
          <w:b/>
          <w:sz w:val="28"/>
          <w:szCs w:val="28"/>
        </w:rPr>
        <w:t>兴银理财【稳利安盈封闭式</w:t>
      </w:r>
      <w:bookmarkStart w:id="0" w:name="_GoBack"/>
      <w:bookmarkEnd w:id="0"/>
      <w:r>
        <w:rPr>
          <w:rFonts w:hint="eastAsia" w:ascii="黑体" w:hAnsi="黑体" w:eastAsia="黑体"/>
          <w:b/>
          <w:sz w:val="28"/>
          <w:szCs w:val="28"/>
        </w:rPr>
        <w:t>】理财产品</w:t>
      </w:r>
      <w:permEnd w:id="0"/>
    </w:p>
    <w:p w14:paraId="038F1EA2">
      <w:pPr>
        <w:widowControl/>
        <w:spacing w:before="156"/>
        <w:jc w:val="center"/>
        <w:rPr>
          <w:rFonts w:ascii="黑体" w:hAnsi="黑体" w:eastAsia="黑体"/>
          <w:b/>
          <w:sz w:val="28"/>
          <w:szCs w:val="28"/>
        </w:rPr>
      </w:pPr>
      <w:r>
        <w:rPr>
          <w:rFonts w:hint="eastAsia" w:ascii="黑体" w:hAnsi="黑体" w:eastAsia="黑体"/>
          <w:b/>
          <w:sz w:val="28"/>
          <w:szCs w:val="28"/>
        </w:rPr>
        <w:t>（代理）销售协议书</w:t>
      </w:r>
    </w:p>
    <w:p w14:paraId="72743817">
      <w:pPr>
        <w:autoSpaceDE w:val="0"/>
        <w:autoSpaceDN w:val="0"/>
        <w:adjustRightInd w:val="0"/>
        <w:snapToGrid w:val="0"/>
        <w:spacing w:before="156" w:beforeLines="50" w:line="320" w:lineRule="exact"/>
        <w:jc w:val="center"/>
        <w:rPr>
          <w:rFonts w:ascii="宋体" w:hAnsi="宋体"/>
          <w:b/>
          <w:sz w:val="32"/>
          <w:szCs w:val="32"/>
        </w:rPr>
      </w:pPr>
      <w:r>
        <w:rPr>
          <w:rFonts w:hint="eastAsia" w:ascii="宋体" w:hAnsi="宋体"/>
          <w:b/>
          <w:sz w:val="24"/>
        </w:rPr>
        <w:t>理财非存款、产品有风险、投资须谨慎</w:t>
      </w:r>
    </w:p>
    <w:p w14:paraId="6BD8541F">
      <w:pPr>
        <w:tabs>
          <w:tab w:val="left" w:pos="8070"/>
          <w:tab w:val="right" w:pos="8306"/>
        </w:tabs>
        <w:autoSpaceDE w:val="0"/>
        <w:autoSpaceDN w:val="0"/>
        <w:adjustRightInd w:val="0"/>
        <w:snapToGrid w:val="0"/>
        <w:spacing w:before="156" w:beforeLines="50" w:line="320" w:lineRule="exact"/>
        <w:jc w:val="center"/>
        <w:rPr>
          <w:rFonts w:ascii="宋体" w:hAnsi="宋体"/>
          <w:b/>
          <w:szCs w:val="21"/>
          <w:u w:val="single"/>
        </w:rPr>
      </w:pPr>
      <w:r>
        <w:rPr>
          <w:rFonts w:hint="eastAsia" w:ascii="宋体" w:hAnsi="宋体"/>
          <w:b/>
          <w:szCs w:val="21"/>
        </w:rPr>
        <w:t>协议编号：</w:t>
      </w:r>
    </w:p>
    <w:p w14:paraId="2490AB82">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8"/>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14:paraId="443C92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14:paraId="5B20232F">
            <w:pPr>
              <w:pBdr>
                <w:bottom w:val="single" w:color="auto" w:sz="6" w:space="1"/>
              </w:pBdr>
              <w:snapToGrid w:val="0"/>
              <w:spacing w:line="320" w:lineRule="exact"/>
              <w:jc w:val="center"/>
              <w:rPr>
                <w:rFonts w:ascii="宋体" w:hAnsi="宋体"/>
                <w:b/>
                <w:bCs/>
                <w:sz w:val="28"/>
                <w:szCs w:val="28"/>
              </w:rPr>
            </w:pPr>
            <w:r>
              <w:rPr>
                <w:rFonts w:hint="eastAsia" w:ascii="宋体" w:hAnsi="宋体"/>
                <w:b/>
                <w:bCs/>
                <w:sz w:val="28"/>
                <w:szCs w:val="28"/>
              </w:rPr>
              <w:t>信息栏</w:t>
            </w:r>
          </w:p>
          <w:p w14:paraId="2FF90CE0">
            <w:pPr>
              <w:pStyle w:val="5"/>
              <w:spacing w:line="320" w:lineRule="exact"/>
              <w:rPr>
                <w:rFonts w:ascii="宋体" w:hAnsi="宋体"/>
                <w:b/>
                <w:bCs/>
                <w:sz w:val="28"/>
                <w:szCs w:val="28"/>
              </w:rPr>
            </w:pPr>
          </w:p>
        </w:tc>
      </w:tr>
      <w:tr w14:paraId="68B9C3C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14:paraId="33F1B5B1">
            <w:pPr>
              <w:pStyle w:val="5"/>
              <w:spacing w:line="320" w:lineRule="exact"/>
              <w:rPr>
                <w:rFonts w:ascii="宋体" w:hAnsi="宋体"/>
                <w:b/>
                <w:bCs/>
                <w:sz w:val="28"/>
                <w:szCs w:val="28"/>
              </w:rPr>
            </w:pPr>
          </w:p>
        </w:tc>
      </w:tr>
      <w:tr w14:paraId="347B53E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14:paraId="65AAAEDC">
            <w:pPr>
              <w:spacing w:line="320" w:lineRule="exact"/>
              <w:jc w:val="left"/>
              <w:rPr>
                <w:rFonts w:ascii="宋体" w:hAnsi="宋体"/>
                <w:b/>
                <w:bCs/>
                <w:sz w:val="18"/>
                <w:szCs w:val="18"/>
              </w:rPr>
            </w:pPr>
            <w:permStart w:id="1" w:edGrp="everyone" w:colFirst="3" w:colLast="3"/>
            <w:r>
              <w:rPr>
                <w:rFonts w:hint="eastAsia" w:ascii="宋体" w:hAnsi="宋体"/>
                <w:b/>
                <w:bCs/>
                <w:sz w:val="18"/>
                <w:szCs w:val="18"/>
              </w:rPr>
              <w:t>投资者信息</w:t>
            </w:r>
          </w:p>
        </w:tc>
        <w:tc>
          <w:tcPr>
            <w:tcW w:w="635" w:type="dxa"/>
            <w:vMerge w:val="restart"/>
            <w:shd w:val="solid" w:color="FFFFFF" w:fill="FFFFFF"/>
            <w:vAlign w:val="center"/>
          </w:tcPr>
          <w:p w14:paraId="4D6CF889">
            <w:pPr>
              <w:spacing w:line="320" w:lineRule="exact"/>
              <w:jc w:val="left"/>
              <w:rPr>
                <w:rFonts w:ascii="宋体" w:hAnsi="宋体"/>
                <w:bCs/>
                <w:sz w:val="18"/>
                <w:szCs w:val="18"/>
              </w:rPr>
            </w:pPr>
            <w:r>
              <w:rPr>
                <w:rFonts w:hint="eastAsia" w:ascii="宋体" w:hAnsi="宋体"/>
                <w:bCs/>
                <w:sz w:val="18"/>
                <w:szCs w:val="18"/>
              </w:rPr>
              <w:t>个人投资者适用</w:t>
            </w:r>
          </w:p>
        </w:tc>
        <w:tc>
          <w:tcPr>
            <w:tcW w:w="1085" w:type="dxa"/>
            <w:shd w:val="solid" w:color="FFFFFF" w:fill="FFFFFF"/>
            <w:vAlign w:val="center"/>
          </w:tcPr>
          <w:p w14:paraId="75D0D38C">
            <w:pPr>
              <w:spacing w:line="320" w:lineRule="exact"/>
              <w:jc w:val="left"/>
              <w:rPr>
                <w:rFonts w:ascii="宋体" w:hAnsi="宋体"/>
                <w:bCs/>
                <w:sz w:val="18"/>
                <w:szCs w:val="18"/>
              </w:rPr>
            </w:pPr>
            <w:r>
              <w:rPr>
                <w:rFonts w:hint="eastAsia" w:ascii="宋体" w:hAnsi="宋体"/>
                <w:bCs/>
                <w:sz w:val="18"/>
                <w:szCs w:val="18"/>
              </w:rPr>
              <w:t>姓名</w:t>
            </w:r>
          </w:p>
        </w:tc>
        <w:tc>
          <w:tcPr>
            <w:tcW w:w="5061" w:type="dxa"/>
            <w:gridSpan w:val="3"/>
            <w:shd w:val="solid" w:color="FFFFFF" w:fill="FFFFFF"/>
            <w:vAlign w:val="center"/>
          </w:tcPr>
          <w:p w14:paraId="08CB09B5">
            <w:pPr>
              <w:spacing w:line="320" w:lineRule="exact"/>
              <w:jc w:val="left"/>
              <w:rPr>
                <w:rFonts w:ascii="宋体" w:hAnsi="宋体"/>
                <w:bCs/>
                <w:sz w:val="18"/>
                <w:szCs w:val="18"/>
              </w:rPr>
            </w:pPr>
          </w:p>
        </w:tc>
      </w:tr>
      <w:permEnd w:id="1"/>
      <w:tr w14:paraId="1388811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2F40DA76">
            <w:pPr>
              <w:spacing w:line="320" w:lineRule="exact"/>
              <w:jc w:val="left"/>
              <w:rPr>
                <w:rFonts w:ascii="宋体" w:hAnsi="宋体"/>
                <w:b/>
                <w:bCs/>
                <w:sz w:val="18"/>
                <w:szCs w:val="18"/>
              </w:rPr>
            </w:pPr>
            <w:permStart w:id="2" w:edGrp="everyone" w:colFirst="3" w:colLast="3"/>
            <w:permStart w:id="3" w:edGrp="everyone" w:colFirst="5" w:colLast="5"/>
          </w:p>
        </w:tc>
        <w:tc>
          <w:tcPr>
            <w:tcW w:w="635" w:type="dxa"/>
            <w:vMerge w:val="continue"/>
            <w:shd w:val="solid" w:color="FFFFFF" w:fill="FFFFFF"/>
            <w:vAlign w:val="center"/>
          </w:tcPr>
          <w:p w14:paraId="1AFB30F2">
            <w:pPr>
              <w:spacing w:line="320" w:lineRule="exact"/>
              <w:jc w:val="left"/>
              <w:rPr>
                <w:rFonts w:ascii="宋体" w:hAnsi="宋体"/>
                <w:bCs/>
                <w:sz w:val="18"/>
                <w:szCs w:val="18"/>
              </w:rPr>
            </w:pPr>
          </w:p>
        </w:tc>
        <w:tc>
          <w:tcPr>
            <w:tcW w:w="1085" w:type="dxa"/>
            <w:shd w:val="solid" w:color="FFFFFF" w:fill="FFFFFF"/>
            <w:vAlign w:val="center"/>
          </w:tcPr>
          <w:p w14:paraId="06389F97">
            <w:pPr>
              <w:spacing w:line="320" w:lineRule="exact"/>
              <w:jc w:val="left"/>
              <w:rPr>
                <w:rFonts w:ascii="宋体" w:hAnsi="宋体"/>
                <w:bCs/>
                <w:sz w:val="18"/>
                <w:szCs w:val="18"/>
              </w:rPr>
            </w:pPr>
            <w:r>
              <w:rPr>
                <w:rFonts w:hint="eastAsia" w:ascii="宋体" w:hAnsi="宋体"/>
                <w:bCs/>
                <w:sz w:val="18"/>
                <w:szCs w:val="18"/>
              </w:rPr>
              <w:t>证件类型</w:t>
            </w:r>
          </w:p>
        </w:tc>
        <w:tc>
          <w:tcPr>
            <w:tcW w:w="1384" w:type="dxa"/>
            <w:shd w:val="solid" w:color="FFFFFF" w:fill="FFFFFF"/>
            <w:vAlign w:val="center"/>
          </w:tcPr>
          <w:p w14:paraId="2A90B3FC">
            <w:pPr>
              <w:spacing w:line="320" w:lineRule="exact"/>
              <w:jc w:val="left"/>
              <w:rPr>
                <w:rFonts w:ascii="宋体" w:hAnsi="宋体"/>
                <w:bCs/>
                <w:sz w:val="18"/>
                <w:szCs w:val="18"/>
              </w:rPr>
            </w:pPr>
          </w:p>
        </w:tc>
        <w:tc>
          <w:tcPr>
            <w:tcW w:w="1234" w:type="dxa"/>
            <w:shd w:val="solid" w:color="FFFFFF" w:fill="FFFFFF"/>
            <w:vAlign w:val="center"/>
          </w:tcPr>
          <w:p w14:paraId="481E0D21">
            <w:pPr>
              <w:spacing w:line="320" w:lineRule="exact"/>
              <w:jc w:val="left"/>
              <w:rPr>
                <w:rFonts w:ascii="宋体" w:hAnsi="宋体"/>
                <w:bCs/>
                <w:sz w:val="18"/>
                <w:szCs w:val="18"/>
              </w:rPr>
            </w:pPr>
            <w:r>
              <w:rPr>
                <w:rFonts w:hint="eastAsia" w:ascii="宋体" w:hAnsi="宋体"/>
                <w:bCs/>
                <w:sz w:val="18"/>
                <w:szCs w:val="18"/>
              </w:rPr>
              <w:t>证件号码</w:t>
            </w:r>
          </w:p>
        </w:tc>
        <w:tc>
          <w:tcPr>
            <w:tcW w:w="2443" w:type="dxa"/>
            <w:shd w:val="solid" w:color="FFFFFF" w:fill="FFFFFF"/>
            <w:vAlign w:val="center"/>
          </w:tcPr>
          <w:p w14:paraId="4A798C8C">
            <w:pPr>
              <w:spacing w:line="320" w:lineRule="exact"/>
              <w:jc w:val="left"/>
              <w:rPr>
                <w:rFonts w:ascii="宋体" w:hAnsi="宋体"/>
                <w:bCs/>
                <w:sz w:val="18"/>
                <w:szCs w:val="18"/>
              </w:rPr>
            </w:pPr>
          </w:p>
        </w:tc>
      </w:tr>
      <w:permEnd w:id="2"/>
      <w:permEnd w:id="3"/>
      <w:tr w14:paraId="35925AC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31D704CC">
            <w:pPr>
              <w:spacing w:line="320" w:lineRule="exact"/>
              <w:jc w:val="left"/>
              <w:rPr>
                <w:rFonts w:ascii="宋体" w:hAnsi="宋体"/>
                <w:b/>
                <w:bCs/>
                <w:sz w:val="18"/>
                <w:szCs w:val="18"/>
              </w:rPr>
            </w:pPr>
            <w:permStart w:id="4" w:edGrp="everyone" w:colFirst="3" w:colLast="3"/>
            <w:permStart w:id="5" w:edGrp="everyone" w:colFirst="5" w:colLast="5"/>
          </w:p>
        </w:tc>
        <w:tc>
          <w:tcPr>
            <w:tcW w:w="635" w:type="dxa"/>
            <w:vMerge w:val="continue"/>
            <w:shd w:val="solid" w:color="FFFFFF" w:fill="FFFFFF"/>
            <w:vAlign w:val="center"/>
          </w:tcPr>
          <w:p w14:paraId="0A51A7E1">
            <w:pPr>
              <w:spacing w:line="320" w:lineRule="exact"/>
              <w:jc w:val="left"/>
              <w:rPr>
                <w:rFonts w:ascii="宋体" w:hAnsi="宋体"/>
                <w:bCs/>
                <w:sz w:val="18"/>
                <w:szCs w:val="18"/>
              </w:rPr>
            </w:pPr>
          </w:p>
        </w:tc>
        <w:tc>
          <w:tcPr>
            <w:tcW w:w="1085" w:type="dxa"/>
            <w:shd w:val="solid" w:color="FFFFFF" w:fill="FFFFFF"/>
            <w:vAlign w:val="center"/>
          </w:tcPr>
          <w:p w14:paraId="26DD0B5A">
            <w:pPr>
              <w:spacing w:line="320" w:lineRule="exact"/>
              <w:jc w:val="left"/>
              <w:rPr>
                <w:rFonts w:ascii="宋体" w:hAnsi="宋体"/>
                <w:bCs/>
                <w:sz w:val="18"/>
                <w:szCs w:val="18"/>
              </w:rPr>
            </w:pPr>
            <w:r>
              <w:rPr>
                <w:rFonts w:hint="eastAsia" w:ascii="宋体" w:hAnsi="宋体"/>
                <w:bCs/>
                <w:sz w:val="18"/>
                <w:szCs w:val="18"/>
              </w:rPr>
              <w:t>联系电话</w:t>
            </w:r>
          </w:p>
        </w:tc>
        <w:tc>
          <w:tcPr>
            <w:tcW w:w="1384" w:type="dxa"/>
            <w:shd w:val="solid" w:color="FFFFFF" w:fill="FFFFFF"/>
            <w:vAlign w:val="center"/>
          </w:tcPr>
          <w:p w14:paraId="1013194C">
            <w:pPr>
              <w:spacing w:line="320" w:lineRule="exact"/>
              <w:jc w:val="left"/>
              <w:rPr>
                <w:rFonts w:ascii="宋体" w:hAnsi="宋体"/>
                <w:bCs/>
                <w:sz w:val="18"/>
                <w:szCs w:val="18"/>
              </w:rPr>
            </w:pPr>
          </w:p>
        </w:tc>
        <w:tc>
          <w:tcPr>
            <w:tcW w:w="1234" w:type="dxa"/>
            <w:shd w:val="solid" w:color="FFFFFF" w:fill="FFFFFF"/>
            <w:vAlign w:val="center"/>
          </w:tcPr>
          <w:p w14:paraId="678797D9">
            <w:pPr>
              <w:spacing w:line="320" w:lineRule="exact"/>
              <w:jc w:val="left"/>
              <w:rPr>
                <w:rFonts w:ascii="宋体" w:hAnsi="宋体"/>
                <w:bCs/>
                <w:sz w:val="18"/>
                <w:szCs w:val="18"/>
              </w:rPr>
            </w:pPr>
            <w:r>
              <w:rPr>
                <w:rFonts w:hint="eastAsia" w:ascii="宋体" w:hAnsi="宋体"/>
                <w:bCs/>
                <w:sz w:val="18"/>
                <w:szCs w:val="18"/>
              </w:rPr>
              <w:t>电子邮箱</w:t>
            </w:r>
          </w:p>
        </w:tc>
        <w:tc>
          <w:tcPr>
            <w:tcW w:w="2443" w:type="dxa"/>
            <w:shd w:val="solid" w:color="FFFFFF" w:fill="FFFFFF"/>
            <w:vAlign w:val="center"/>
          </w:tcPr>
          <w:p w14:paraId="056B2FDC">
            <w:pPr>
              <w:spacing w:line="320" w:lineRule="exact"/>
              <w:jc w:val="left"/>
              <w:rPr>
                <w:rFonts w:ascii="宋体" w:hAnsi="宋体"/>
                <w:bCs/>
                <w:sz w:val="18"/>
                <w:szCs w:val="18"/>
              </w:rPr>
            </w:pPr>
          </w:p>
        </w:tc>
      </w:tr>
      <w:permEnd w:id="4"/>
      <w:permEnd w:id="5"/>
      <w:tr w14:paraId="6E354C1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7B9CFC19">
            <w:pPr>
              <w:spacing w:line="320" w:lineRule="exact"/>
              <w:jc w:val="left"/>
              <w:rPr>
                <w:rFonts w:ascii="宋体" w:hAnsi="宋体"/>
                <w:b/>
                <w:bCs/>
                <w:sz w:val="18"/>
                <w:szCs w:val="18"/>
              </w:rPr>
            </w:pPr>
            <w:permStart w:id="6" w:edGrp="everyone" w:colFirst="3" w:colLast="3"/>
          </w:p>
        </w:tc>
        <w:tc>
          <w:tcPr>
            <w:tcW w:w="635" w:type="dxa"/>
            <w:vMerge w:val="continue"/>
            <w:shd w:val="solid" w:color="FFFFFF" w:fill="FFFFFF"/>
            <w:vAlign w:val="center"/>
          </w:tcPr>
          <w:p w14:paraId="61B1DEEF">
            <w:pPr>
              <w:spacing w:line="320" w:lineRule="exact"/>
              <w:jc w:val="left"/>
              <w:rPr>
                <w:rFonts w:ascii="宋体" w:hAnsi="宋体"/>
                <w:bCs/>
                <w:sz w:val="18"/>
                <w:szCs w:val="18"/>
              </w:rPr>
            </w:pPr>
          </w:p>
        </w:tc>
        <w:tc>
          <w:tcPr>
            <w:tcW w:w="1085" w:type="dxa"/>
            <w:shd w:val="solid" w:color="FFFFFF" w:fill="FFFFFF"/>
            <w:vAlign w:val="center"/>
          </w:tcPr>
          <w:p w14:paraId="7A939550">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shd w:val="solid" w:color="FFFFFF" w:fill="FFFFFF"/>
            <w:vAlign w:val="center"/>
          </w:tcPr>
          <w:p w14:paraId="6C78BB33">
            <w:pPr>
              <w:spacing w:line="320" w:lineRule="exact"/>
              <w:jc w:val="left"/>
              <w:rPr>
                <w:rFonts w:ascii="宋体" w:hAnsi="宋体"/>
                <w:bCs/>
                <w:sz w:val="18"/>
                <w:szCs w:val="18"/>
              </w:rPr>
            </w:pPr>
          </w:p>
        </w:tc>
      </w:tr>
      <w:permEnd w:id="6"/>
      <w:tr w14:paraId="6BEAEDE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4EACFE32">
            <w:pPr>
              <w:spacing w:line="320" w:lineRule="exact"/>
              <w:jc w:val="left"/>
              <w:rPr>
                <w:rFonts w:ascii="宋体" w:hAnsi="宋体"/>
                <w:b/>
                <w:bCs/>
                <w:sz w:val="18"/>
                <w:szCs w:val="18"/>
              </w:rPr>
            </w:pPr>
            <w:permStart w:id="7" w:edGrp="everyone" w:colFirst="3" w:colLast="3"/>
          </w:p>
        </w:tc>
        <w:tc>
          <w:tcPr>
            <w:tcW w:w="635" w:type="dxa"/>
            <w:vMerge w:val="continue"/>
            <w:shd w:val="solid" w:color="FFFFFF" w:fill="FFFFFF"/>
            <w:vAlign w:val="center"/>
          </w:tcPr>
          <w:p w14:paraId="5FF11C99">
            <w:pPr>
              <w:spacing w:line="320" w:lineRule="exact"/>
              <w:jc w:val="left"/>
              <w:rPr>
                <w:rFonts w:ascii="宋体" w:hAnsi="宋体"/>
                <w:bCs/>
                <w:sz w:val="18"/>
                <w:szCs w:val="18"/>
              </w:rPr>
            </w:pPr>
          </w:p>
        </w:tc>
        <w:tc>
          <w:tcPr>
            <w:tcW w:w="1085" w:type="dxa"/>
            <w:tcBorders>
              <w:bottom w:val="single" w:color="auto" w:sz="12" w:space="0"/>
            </w:tcBorders>
            <w:shd w:val="solid" w:color="FFFFFF" w:fill="FFFFFF"/>
            <w:vAlign w:val="center"/>
          </w:tcPr>
          <w:p w14:paraId="232F40B2">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bottom w:val="single" w:color="auto" w:sz="12" w:space="0"/>
            </w:tcBorders>
            <w:shd w:val="solid" w:color="FFFFFF" w:fill="FFFFFF"/>
            <w:vAlign w:val="center"/>
          </w:tcPr>
          <w:p w14:paraId="4EB563D8">
            <w:pPr>
              <w:spacing w:line="320" w:lineRule="exact"/>
              <w:jc w:val="left"/>
              <w:rPr>
                <w:rFonts w:ascii="宋体" w:hAnsi="宋体"/>
                <w:bCs/>
                <w:sz w:val="18"/>
                <w:szCs w:val="18"/>
              </w:rPr>
            </w:pPr>
          </w:p>
        </w:tc>
      </w:tr>
      <w:permEnd w:id="7"/>
      <w:tr w14:paraId="51FF689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09425E3F">
            <w:pPr>
              <w:spacing w:line="320" w:lineRule="exact"/>
              <w:jc w:val="left"/>
              <w:rPr>
                <w:rFonts w:ascii="宋体" w:hAnsi="宋体"/>
                <w:b/>
                <w:bCs/>
                <w:sz w:val="18"/>
                <w:szCs w:val="18"/>
              </w:rPr>
            </w:pPr>
            <w:permStart w:id="8" w:edGrp="everyone" w:colFirst="3" w:colLast="3"/>
          </w:p>
        </w:tc>
        <w:tc>
          <w:tcPr>
            <w:tcW w:w="635" w:type="dxa"/>
            <w:vMerge w:val="restart"/>
            <w:tcBorders>
              <w:right w:val="single" w:color="auto" w:sz="12" w:space="0"/>
            </w:tcBorders>
            <w:shd w:val="solid" w:color="FFFFFF" w:fill="FFFFFF"/>
            <w:vAlign w:val="center"/>
          </w:tcPr>
          <w:p w14:paraId="1C55C7D2">
            <w:pPr>
              <w:spacing w:line="320" w:lineRule="exact"/>
              <w:jc w:val="left"/>
              <w:rPr>
                <w:rFonts w:ascii="宋体" w:hAnsi="宋体"/>
                <w:bCs/>
                <w:sz w:val="18"/>
                <w:szCs w:val="18"/>
              </w:rPr>
            </w:pPr>
            <w:r>
              <w:rPr>
                <w:rFonts w:hint="eastAsia" w:ascii="宋体" w:hAnsi="宋体"/>
                <w:bCs/>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0AB5EA58">
            <w:pPr>
              <w:spacing w:line="320" w:lineRule="exact"/>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332B3615">
            <w:pPr>
              <w:spacing w:line="320" w:lineRule="exact"/>
              <w:jc w:val="left"/>
              <w:rPr>
                <w:rFonts w:ascii="宋体" w:hAnsi="宋体"/>
                <w:bCs/>
                <w:sz w:val="18"/>
                <w:szCs w:val="18"/>
              </w:rPr>
            </w:pPr>
          </w:p>
        </w:tc>
      </w:tr>
      <w:permEnd w:id="8"/>
      <w:tr w14:paraId="3C8255C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189097C5">
            <w:pPr>
              <w:spacing w:line="320" w:lineRule="exact"/>
              <w:jc w:val="left"/>
              <w:rPr>
                <w:rFonts w:ascii="宋体" w:hAnsi="宋体"/>
                <w:b/>
                <w:bCs/>
                <w:sz w:val="18"/>
                <w:szCs w:val="18"/>
              </w:rPr>
            </w:pPr>
            <w:permStart w:id="9" w:edGrp="everyone" w:colFirst="3" w:colLast="3"/>
            <w:permStart w:id="10" w:edGrp="everyone" w:colFirst="5" w:colLast="5"/>
          </w:p>
        </w:tc>
        <w:tc>
          <w:tcPr>
            <w:tcW w:w="635" w:type="dxa"/>
            <w:vMerge w:val="continue"/>
            <w:tcBorders>
              <w:right w:val="single" w:color="auto" w:sz="12" w:space="0"/>
            </w:tcBorders>
            <w:shd w:val="solid" w:color="FFFFFF" w:fill="FFFFFF"/>
            <w:vAlign w:val="center"/>
          </w:tcPr>
          <w:p w14:paraId="7BF5D4F1">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2214C193">
            <w:pPr>
              <w:spacing w:line="320" w:lineRule="exact"/>
              <w:jc w:val="left"/>
              <w:rPr>
                <w:rFonts w:ascii="宋体" w:hAnsi="宋体"/>
                <w:bCs/>
                <w:sz w:val="18"/>
                <w:szCs w:val="18"/>
              </w:rPr>
            </w:pPr>
            <w:r>
              <w:rPr>
                <w:rFonts w:hint="eastAsia" w:ascii="宋体" w:hAnsi="宋体"/>
                <w:bCs/>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1FA6D7E0">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7DC51843">
            <w:pPr>
              <w:spacing w:line="320" w:lineRule="exact"/>
              <w:jc w:val="left"/>
              <w:rPr>
                <w:rFonts w:ascii="宋体" w:hAnsi="宋体"/>
                <w:bCs/>
                <w:sz w:val="18"/>
                <w:szCs w:val="18"/>
              </w:rPr>
            </w:pPr>
            <w:r>
              <w:rPr>
                <w:rFonts w:hint="eastAsia" w:ascii="宋体" w:hAnsi="宋体"/>
                <w:bCs/>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14:paraId="76C61F24">
            <w:pPr>
              <w:spacing w:line="320" w:lineRule="exact"/>
              <w:jc w:val="left"/>
              <w:rPr>
                <w:rFonts w:ascii="宋体" w:hAnsi="宋体"/>
                <w:bCs/>
                <w:sz w:val="18"/>
                <w:szCs w:val="18"/>
              </w:rPr>
            </w:pPr>
          </w:p>
        </w:tc>
      </w:tr>
      <w:permEnd w:id="9"/>
      <w:permEnd w:id="10"/>
      <w:tr w14:paraId="1D3F27F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6FAA4C3E">
            <w:pPr>
              <w:spacing w:line="320" w:lineRule="exact"/>
              <w:jc w:val="left"/>
              <w:rPr>
                <w:rFonts w:ascii="宋体" w:hAnsi="宋体"/>
                <w:b/>
                <w:bCs/>
                <w:sz w:val="18"/>
                <w:szCs w:val="18"/>
              </w:rPr>
            </w:pPr>
            <w:permStart w:id="11" w:edGrp="everyone" w:colFirst="3" w:colLast="3"/>
          </w:p>
        </w:tc>
        <w:tc>
          <w:tcPr>
            <w:tcW w:w="635" w:type="dxa"/>
            <w:vMerge w:val="continue"/>
            <w:tcBorders>
              <w:right w:val="single" w:color="auto" w:sz="12" w:space="0"/>
            </w:tcBorders>
            <w:shd w:val="solid" w:color="FFFFFF" w:fill="FFFFFF"/>
            <w:vAlign w:val="center"/>
          </w:tcPr>
          <w:p w14:paraId="6F053F7A">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0BD2245B">
            <w:pPr>
              <w:spacing w:line="320" w:lineRule="exact"/>
              <w:jc w:val="left"/>
              <w:rPr>
                <w:rFonts w:ascii="宋体" w:hAnsi="宋体"/>
                <w:bCs/>
                <w:sz w:val="18"/>
                <w:szCs w:val="18"/>
              </w:rPr>
            </w:pPr>
            <w:r>
              <w:rPr>
                <w:rFonts w:hint="eastAsia" w:ascii="宋体" w:hAnsi="宋体"/>
                <w:bCs/>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217AD7F4">
            <w:pPr>
              <w:spacing w:line="320" w:lineRule="exact"/>
              <w:jc w:val="left"/>
              <w:rPr>
                <w:rFonts w:ascii="宋体" w:hAnsi="宋体"/>
                <w:bCs/>
                <w:sz w:val="18"/>
                <w:szCs w:val="18"/>
              </w:rPr>
            </w:pPr>
          </w:p>
        </w:tc>
      </w:tr>
      <w:permEnd w:id="11"/>
      <w:tr w14:paraId="008E93F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63B7F26C">
            <w:pPr>
              <w:spacing w:line="320" w:lineRule="exact"/>
              <w:jc w:val="left"/>
              <w:rPr>
                <w:rFonts w:ascii="宋体" w:hAnsi="宋体"/>
                <w:b/>
                <w:bCs/>
                <w:sz w:val="18"/>
                <w:szCs w:val="18"/>
              </w:rPr>
            </w:pPr>
            <w:permStart w:id="12" w:edGrp="everyone" w:colFirst="3" w:colLast="3"/>
            <w:permStart w:id="13" w:edGrp="everyone" w:colFirst="5" w:colLast="5"/>
          </w:p>
        </w:tc>
        <w:tc>
          <w:tcPr>
            <w:tcW w:w="635" w:type="dxa"/>
            <w:vMerge w:val="continue"/>
            <w:tcBorders>
              <w:right w:val="single" w:color="auto" w:sz="12" w:space="0"/>
            </w:tcBorders>
            <w:shd w:val="solid" w:color="FFFFFF" w:fill="FFFFFF"/>
            <w:vAlign w:val="center"/>
          </w:tcPr>
          <w:p w14:paraId="37BE11E0">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7BE5D265">
            <w:pPr>
              <w:spacing w:line="320" w:lineRule="exact"/>
              <w:jc w:val="left"/>
              <w:rPr>
                <w:rFonts w:ascii="宋体" w:hAnsi="宋体"/>
                <w:bCs/>
                <w:sz w:val="18"/>
                <w:szCs w:val="18"/>
              </w:rPr>
            </w:pPr>
            <w:r>
              <w:rPr>
                <w:rFonts w:hint="eastAsia" w:ascii="宋体" w:hAnsi="宋体"/>
                <w:bCs/>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00B12DCC">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16ED573D">
            <w:pPr>
              <w:spacing w:line="280" w:lineRule="exact"/>
              <w:jc w:val="left"/>
              <w:rPr>
                <w:rFonts w:ascii="宋体" w:hAnsi="宋体"/>
                <w:bCs/>
                <w:sz w:val="18"/>
                <w:szCs w:val="18"/>
              </w:rPr>
            </w:pPr>
            <w:r>
              <w:rPr>
                <w:rFonts w:hint="eastAsia" w:ascii="宋体" w:hAnsi="宋体"/>
                <w:bCs/>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14:paraId="21FD0C52">
            <w:pPr>
              <w:spacing w:line="320" w:lineRule="exact"/>
              <w:jc w:val="left"/>
              <w:rPr>
                <w:rFonts w:ascii="宋体" w:hAnsi="宋体"/>
                <w:bCs/>
                <w:sz w:val="18"/>
                <w:szCs w:val="18"/>
              </w:rPr>
            </w:pPr>
          </w:p>
        </w:tc>
      </w:tr>
      <w:permEnd w:id="12"/>
      <w:permEnd w:id="13"/>
      <w:tr w14:paraId="5D09B24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6A5FBC4D">
            <w:pPr>
              <w:spacing w:line="320" w:lineRule="exact"/>
              <w:jc w:val="left"/>
              <w:rPr>
                <w:rFonts w:ascii="宋体" w:hAnsi="宋体"/>
                <w:b/>
                <w:bCs/>
                <w:sz w:val="18"/>
                <w:szCs w:val="18"/>
              </w:rPr>
            </w:pPr>
            <w:permStart w:id="14" w:edGrp="everyone" w:colFirst="3" w:colLast="3"/>
          </w:p>
        </w:tc>
        <w:tc>
          <w:tcPr>
            <w:tcW w:w="635" w:type="dxa"/>
            <w:vMerge w:val="continue"/>
            <w:tcBorders>
              <w:right w:val="single" w:color="auto" w:sz="12" w:space="0"/>
            </w:tcBorders>
            <w:shd w:val="solid" w:color="FFFFFF" w:fill="FFFFFF"/>
            <w:vAlign w:val="center"/>
          </w:tcPr>
          <w:p w14:paraId="5BA42669">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0CC3AF51">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32D10AE3">
            <w:pPr>
              <w:spacing w:line="320" w:lineRule="exact"/>
              <w:jc w:val="left"/>
              <w:rPr>
                <w:rFonts w:ascii="宋体" w:hAnsi="宋体"/>
                <w:bCs/>
                <w:sz w:val="18"/>
                <w:szCs w:val="18"/>
              </w:rPr>
            </w:pPr>
          </w:p>
        </w:tc>
      </w:tr>
      <w:permEnd w:id="14"/>
      <w:tr w14:paraId="3FBE073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14:paraId="21AECE99">
            <w:pPr>
              <w:spacing w:line="320" w:lineRule="exact"/>
              <w:jc w:val="left"/>
              <w:rPr>
                <w:rFonts w:ascii="宋体" w:hAnsi="宋体"/>
                <w:b/>
                <w:bCs/>
                <w:sz w:val="18"/>
                <w:szCs w:val="18"/>
              </w:rPr>
            </w:pPr>
            <w:permStart w:id="15" w:edGrp="everyone" w:colFirst="3" w:colLast="3"/>
          </w:p>
        </w:tc>
        <w:tc>
          <w:tcPr>
            <w:tcW w:w="635" w:type="dxa"/>
            <w:vMerge w:val="continue"/>
            <w:tcBorders>
              <w:bottom w:val="single" w:color="auto" w:sz="12" w:space="0"/>
              <w:right w:val="single" w:color="auto" w:sz="12" w:space="0"/>
            </w:tcBorders>
            <w:shd w:val="solid" w:color="FFFFFF" w:fill="FFFFFF"/>
            <w:vAlign w:val="center"/>
          </w:tcPr>
          <w:p w14:paraId="6AB2579A">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035C11DB">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543A80A3">
            <w:pPr>
              <w:spacing w:line="320" w:lineRule="exact"/>
              <w:jc w:val="left"/>
              <w:rPr>
                <w:rFonts w:ascii="宋体" w:hAnsi="宋体"/>
                <w:bCs/>
                <w:sz w:val="18"/>
                <w:szCs w:val="18"/>
              </w:rPr>
            </w:pPr>
          </w:p>
        </w:tc>
      </w:tr>
      <w:permEnd w:id="15"/>
      <w:tr w14:paraId="68982CF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14:paraId="0A892C53">
            <w:pPr>
              <w:pStyle w:val="5"/>
              <w:pBdr>
                <w:bottom w:val="none" w:color="auto" w:sz="0" w:space="0"/>
              </w:pBdr>
              <w:spacing w:line="320" w:lineRule="exact"/>
              <w:rPr>
                <w:rFonts w:ascii="宋体" w:hAnsi="宋体"/>
                <w:b/>
                <w:bCs/>
                <w:sz w:val="28"/>
                <w:szCs w:val="28"/>
              </w:rPr>
            </w:pPr>
          </w:p>
        </w:tc>
      </w:tr>
      <w:tr w14:paraId="122BB3A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restart"/>
            <w:shd w:val="solid" w:color="FFFFFF" w:fill="FFFFFF"/>
            <w:vAlign w:val="center"/>
          </w:tcPr>
          <w:p w14:paraId="1496CE55">
            <w:pPr>
              <w:spacing w:line="320" w:lineRule="exact"/>
              <w:jc w:val="left"/>
              <w:rPr>
                <w:rFonts w:ascii="宋体" w:hAnsi="宋体"/>
                <w:b/>
                <w:bCs/>
                <w:sz w:val="18"/>
                <w:szCs w:val="18"/>
              </w:rPr>
            </w:pPr>
            <w:r>
              <w:rPr>
                <w:rFonts w:hint="eastAsia" w:ascii="宋体" w:hAnsi="宋体"/>
                <w:b/>
                <w:bCs/>
                <w:sz w:val="18"/>
                <w:szCs w:val="18"/>
              </w:rPr>
              <w:t>销售</w:t>
            </w:r>
            <w:r>
              <w:rPr>
                <w:rFonts w:ascii="宋体" w:hAnsi="宋体"/>
                <w:b/>
                <w:bCs/>
                <w:sz w:val="18"/>
                <w:szCs w:val="18"/>
              </w:rPr>
              <w:t>机构信息</w:t>
            </w:r>
          </w:p>
        </w:tc>
        <w:tc>
          <w:tcPr>
            <w:tcW w:w="1720" w:type="dxa"/>
            <w:gridSpan w:val="2"/>
            <w:shd w:val="solid" w:color="FFFFFF" w:fill="FFFFFF"/>
            <w:vAlign w:val="center"/>
          </w:tcPr>
          <w:p w14:paraId="272AD62B">
            <w:pPr>
              <w:spacing w:line="320" w:lineRule="exact"/>
              <w:jc w:val="left"/>
              <w:rPr>
                <w:rFonts w:ascii="宋体" w:hAnsi="宋体"/>
                <w:bCs/>
                <w:sz w:val="18"/>
                <w:szCs w:val="18"/>
              </w:rPr>
            </w:pPr>
            <w:r>
              <w:rPr>
                <w:rFonts w:hint="eastAsia" w:hAnsi="宋体"/>
                <w:sz w:val="18"/>
                <w:szCs w:val="18"/>
              </w:rPr>
              <w:t>★</w:t>
            </w:r>
            <w:r>
              <w:rPr>
                <w:rFonts w:hint="eastAsia" w:ascii="宋体" w:hAnsi="宋体"/>
                <w:bCs/>
                <w:sz w:val="18"/>
                <w:szCs w:val="18"/>
              </w:rPr>
              <w:t>销售性质</w:t>
            </w:r>
          </w:p>
        </w:tc>
        <w:tc>
          <w:tcPr>
            <w:tcW w:w="5061" w:type="dxa"/>
            <w:gridSpan w:val="3"/>
            <w:shd w:val="solid" w:color="FFFFFF" w:fill="FFFFFF"/>
            <w:vAlign w:val="center"/>
          </w:tcPr>
          <w:p w14:paraId="1CE638BF">
            <w:pPr>
              <w:spacing w:line="320" w:lineRule="exact"/>
              <w:jc w:val="left"/>
              <w:rPr>
                <w:rFonts w:asciiTheme="majorEastAsia" w:hAnsiTheme="majorEastAsia" w:eastAsiaTheme="majorEastAsia"/>
                <w:bCs/>
                <w:sz w:val="18"/>
                <w:szCs w:val="18"/>
              </w:rPr>
            </w:pPr>
            <w:permStart w:id="16" w:edGrp="everyone"/>
            <w:r>
              <w:rPr>
                <w:rFonts w:hint="eastAsia" w:asciiTheme="majorEastAsia" w:hAnsiTheme="majorEastAsia" w:eastAsiaTheme="majorEastAsia"/>
                <w:bCs/>
                <w:sz w:val="18"/>
                <w:szCs w:val="18"/>
              </w:rPr>
              <w:t>□ 直销：产品管理人销售</w:t>
            </w:r>
          </w:p>
          <w:p w14:paraId="2EB61F0F">
            <w:pPr>
              <w:spacing w:line="320" w:lineRule="exact"/>
              <w:jc w:val="left"/>
              <w:rPr>
                <w:rFonts w:ascii="宋体" w:hAnsi="宋体"/>
                <w:bCs/>
                <w:sz w:val="18"/>
                <w:szCs w:val="18"/>
              </w:rPr>
            </w:pPr>
            <w:r>
              <w:rPr>
                <w:rFonts w:hint="eastAsia" w:asciiTheme="majorEastAsia" w:hAnsiTheme="majorEastAsia" w:eastAsiaTheme="majorEastAsia"/>
                <w:bCs/>
                <w:sz w:val="18"/>
                <w:szCs w:val="18"/>
              </w:rPr>
              <w:t>■ 代销：代理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销售</w:t>
            </w:r>
            <w:permEnd w:id="16"/>
          </w:p>
        </w:tc>
      </w:tr>
      <w:tr w14:paraId="4315E59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14:paraId="4075A18B">
            <w:pPr>
              <w:spacing w:line="320" w:lineRule="exact"/>
              <w:jc w:val="left"/>
              <w:rPr>
                <w:rFonts w:ascii="宋体" w:hAnsi="宋体"/>
                <w:b/>
                <w:bCs/>
                <w:sz w:val="18"/>
                <w:szCs w:val="18"/>
              </w:rPr>
            </w:pPr>
          </w:p>
        </w:tc>
        <w:tc>
          <w:tcPr>
            <w:tcW w:w="1720" w:type="dxa"/>
            <w:gridSpan w:val="2"/>
            <w:shd w:val="solid" w:color="FFFFFF" w:fill="FFFFFF"/>
            <w:vAlign w:val="center"/>
          </w:tcPr>
          <w:p w14:paraId="51D8642E">
            <w:pPr>
              <w:spacing w:line="320" w:lineRule="exact"/>
              <w:jc w:val="left"/>
              <w:rPr>
                <w:rFonts w:ascii="宋体" w:hAnsi="宋体"/>
                <w:bCs/>
                <w:sz w:val="18"/>
                <w:szCs w:val="18"/>
              </w:rPr>
            </w:pPr>
            <w:r>
              <w:rPr>
                <w:rFonts w:hint="eastAsia" w:ascii="宋体" w:hAnsi="宋体"/>
                <w:bCs/>
                <w:sz w:val="18"/>
                <w:szCs w:val="18"/>
              </w:rPr>
              <w:t>机构名称</w:t>
            </w:r>
          </w:p>
        </w:tc>
        <w:tc>
          <w:tcPr>
            <w:tcW w:w="5061" w:type="dxa"/>
            <w:gridSpan w:val="3"/>
            <w:shd w:val="solid" w:color="FFFFFF" w:fill="FFFFFF"/>
            <w:vAlign w:val="center"/>
          </w:tcPr>
          <w:p w14:paraId="07A7FC37">
            <w:pPr>
              <w:spacing w:line="320" w:lineRule="exact"/>
              <w:jc w:val="left"/>
              <w:rPr>
                <w:rFonts w:ascii="宋体" w:hAnsi="宋体"/>
                <w:bCs/>
                <w:sz w:val="18"/>
                <w:szCs w:val="18"/>
              </w:rPr>
            </w:pPr>
            <w:permStart w:id="17" w:edGrp="everyone"/>
            <w:r>
              <w:rPr>
                <w:rFonts w:hint="eastAsia" w:ascii="宋体" w:hAnsi="宋体"/>
                <w:bCs/>
                <w:sz w:val="18"/>
                <w:szCs w:val="18"/>
              </w:rPr>
              <w:t>【】</w:t>
            </w:r>
            <w:permEnd w:id="17"/>
          </w:p>
        </w:tc>
      </w:tr>
      <w:tr w14:paraId="05489A9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14:paraId="0BD9C3FB">
            <w:pPr>
              <w:spacing w:line="320" w:lineRule="exact"/>
              <w:jc w:val="left"/>
              <w:rPr>
                <w:rFonts w:ascii="宋体" w:hAnsi="宋体"/>
                <w:b/>
                <w:bCs/>
                <w:sz w:val="18"/>
                <w:szCs w:val="18"/>
              </w:rPr>
            </w:pPr>
          </w:p>
        </w:tc>
        <w:tc>
          <w:tcPr>
            <w:tcW w:w="1720" w:type="dxa"/>
            <w:gridSpan w:val="2"/>
            <w:tcBorders>
              <w:bottom w:val="single" w:color="auto" w:sz="12" w:space="0"/>
            </w:tcBorders>
            <w:shd w:val="solid" w:color="FFFFFF" w:fill="FFFFFF"/>
            <w:vAlign w:val="center"/>
          </w:tcPr>
          <w:p w14:paraId="15F63B51">
            <w:pPr>
              <w:spacing w:line="320" w:lineRule="exact"/>
              <w:jc w:val="left"/>
              <w:rPr>
                <w:rFonts w:ascii="宋体" w:hAnsi="宋体"/>
                <w:bCs/>
                <w:sz w:val="18"/>
                <w:szCs w:val="18"/>
              </w:rPr>
            </w:pPr>
            <w:r>
              <w:rPr>
                <w:rFonts w:hint="eastAsia" w:ascii="宋体" w:hAnsi="宋体"/>
                <w:bCs/>
                <w:sz w:val="18"/>
                <w:szCs w:val="18"/>
              </w:rPr>
              <w:t>机构简介</w:t>
            </w:r>
          </w:p>
        </w:tc>
        <w:tc>
          <w:tcPr>
            <w:tcW w:w="5061" w:type="dxa"/>
            <w:gridSpan w:val="3"/>
            <w:tcBorders>
              <w:bottom w:val="single" w:color="auto" w:sz="12" w:space="0"/>
            </w:tcBorders>
            <w:shd w:val="solid" w:color="FFFFFF" w:fill="FFFFFF"/>
            <w:vAlign w:val="center"/>
          </w:tcPr>
          <w:p w14:paraId="31B46FEC">
            <w:pPr>
              <w:pStyle w:val="15"/>
              <w:jc w:val="both"/>
            </w:pPr>
            <w:permStart w:id="18" w:edGrp="everyone"/>
            <w:r>
              <w:rPr>
                <w:rFonts w:hint="eastAsia" w:asciiTheme="majorEastAsia" w:hAnsiTheme="majorEastAsia" w:eastAsiaTheme="majorEastAsia"/>
                <w:bCs/>
                <w:sz w:val="18"/>
                <w:szCs w:val="18"/>
              </w:rPr>
              <w:t>【】</w:t>
            </w:r>
            <w:permEnd w:id="18"/>
          </w:p>
        </w:tc>
      </w:tr>
      <w:tr w14:paraId="59D1780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14:paraId="2850D4D6">
            <w:pPr>
              <w:spacing w:line="320" w:lineRule="exact"/>
              <w:jc w:val="left"/>
              <w:rPr>
                <w:rFonts w:ascii="宋体" w:hAnsi="宋体"/>
                <w:bCs/>
                <w:sz w:val="18"/>
                <w:szCs w:val="18"/>
              </w:rPr>
            </w:pPr>
          </w:p>
        </w:tc>
      </w:tr>
      <w:tr w14:paraId="3D006F7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shd w:val="solid" w:color="FFFFFF" w:fill="FFFFFF"/>
            <w:vAlign w:val="center"/>
          </w:tcPr>
          <w:p w14:paraId="16ED8102">
            <w:pPr>
              <w:pStyle w:val="5"/>
              <w:pBdr>
                <w:bottom w:val="none" w:color="auto" w:sz="0" w:space="0"/>
              </w:pBdr>
              <w:tabs>
                <w:tab w:val="clear" w:pos="4153"/>
                <w:tab w:val="clear" w:pos="8306"/>
              </w:tabs>
              <w:snapToGrid/>
              <w:spacing w:line="320" w:lineRule="exact"/>
              <w:rPr>
                <w:rFonts w:ascii="宋体" w:hAnsi="宋体"/>
                <w:b/>
              </w:rPr>
            </w:pPr>
            <w:r>
              <w:rPr>
                <w:rFonts w:hint="eastAsia" w:ascii="宋体" w:hAnsi="宋体"/>
                <w:b/>
              </w:rPr>
              <w:t>理财产品指定账户信息</w:t>
            </w:r>
          </w:p>
        </w:tc>
        <w:tc>
          <w:tcPr>
            <w:tcW w:w="6781" w:type="dxa"/>
            <w:gridSpan w:val="5"/>
            <w:shd w:val="solid" w:color="FFFFFF" w:fill="FFFFFF"/>
            <w:vAlign w:val="center"/>
          </w:tcPr>
          <w:p w14:paraId="08993263">
            <w:pPr>
              <w:pStyle w:val="5"/>
              <w:pBdr>
                <w:bottom w:val="none" w:color="auto" w:sz="0" w:space="0"/>
              </w:pBdr>
              <w:tabs>
                <w:tab w:val="clear" w:pos="4153"/>
                <w:tab w:val="clear" w:pos="8306"/>
              </w:tabs>
              <w:snapToGrid/>
              <w:spacing w:line="320" w:lineRule="exact"/>
              <w:jc w:val="left"/>
              <w:rPr>
                <w:rFonts w:ascii="宋体" w:hAnsi="宋体"/>
                <w:b/>
              </w:rPr>
            </w:pPr>
            <w:r>
              <w:rPr>
                <w:rFonts w:hint="eastAsia" w:ascii="宋体" w:hAnsi="宋体"/>
              </w:rPr>
              <w:t>投资者</w:t>
            </w:r>
            <w:r>
              <w:rPr>
                <w:rFonts w:ascii="宋体" w:hAnsi="宋体"/>
              </w:rPr>
              <w:t>在销售机构开立</w:t>
            </w:r>
            <w:r>
              <w:rPr>
                <w:rFonts w:hint="eastAsia" w:ascii="宋体" w:hAnsi="宋体"/>
              </w:rPr>
              <w:t>理财卡结算账户</w:t>
            </w:r>
            <w:r>
              <w:rPr>
                <w:rFonts w:hint="eastAsia" w:ascii="宋体" w:hAnsi="宋体"/>
                <w:spacing w:val="-6"/>
              </w:rPr>
              <w:t>或存折结算账户（</w:t>
            </w:r>
            <w:r>
              <w:rPr>
                <w:rFonts w:hint="eastAsia" w:ascii="宋体" w:hAnsi="宋体"/>
              </w:rPr>
              <w:t>以下简称“指定账户”），</w:t>
            </w:r>
            <w:r>
              <w:rPr>
                <w:rFonts w:ascii="宋体" w:hAnsi="宋体"/>
              </w:rPr>
              <w:t>用于</w:t>
            </w:r>
            <w:r>
              <w:rPr>
                <w:rFonts w:hint="eastAsia" w:ascii="宋体" w:hAnsi="宋体"/>
              </w:rPr>
              <w:t>本产品的</w:t>
            </w:r>
            <w:r>
              <w:rPr>
                <w:rFonts w:ascii="宋体" w:hAnsi="宋体"/>
              </w:rPr>
              <w:t>资金划转及</w:t>
            </w:r>
            <w:r>
              <w:rPr>
                <w:rFonts w:hint="eastAsia" w:ascii="宋体" w:hAnsi="宋体"/>
              </w:rPr>
              <w:t>产品分配，账号：</w:t>
            </w:r>
            <w:permStart w:id="19" w:edGrp="everyone"/>
            <w:r>
              <w:rPr>
                <w:rFonts w:ascii="宋体" w:hAnsi="宋体"/>
                <w:u w:val="single"/>
              </w:rPr>
              <w:t xml:space="preserve">　                     </w:t>
            </w:r>
            <w:permEnd w:id="19"/>
            <w:r>
              <w:rPr>
                <w:rFonts w:hint="eastAsia" w:ascii="宋体" w:hAnsi="宋体"/>
              </w:rPr>
              <w:t>。</w:t>
            </w:r>
          </w:p>
        </w:tc>
      </w:tr>
    </w:tbl>
    <w:p w14:paraId="6091914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14:paraId="26DD1A89">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14:paraId="012004AE">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甲乙双方经友好协商，本着平等自愿、诚实信用的原则，达成协议如下：</w:t>
      </w:r>
    </w:p>
    <w:p w14:paraId="49F04880">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14:paraId="49A9086F">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第一条 重要提示</w:t>
      </w:r>
    </w:p>
    <w:p w14:paraId="799179FF">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14:paraId="3C39B829">
      <w:pPr>
        <w:widowControl/>
        <w:spacing w:line="360" w:lineRule="auto"/>
        <w:jc w:val="left"/>
        <w:rPr>
          <w:rFonts w:ascii="黑体" w:hAnsi="黑体" w:eastAsia="黑体" w:cs="仿宋_GB2312"/>
          <w:kern w:val="0"/>
          <w:sz w:val="18"/>
          <w:szCs w:val="18"/>
        </w:rPr>
      </w:pPr>
      <w:permStart w:id="20" w:edGrp="everyone"/>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直销适用</w:t>
      </w:r>
    </w:p>
    <w:permEnd w:id="20"/>
    <w:p w14:paraId="1E3EEAE3">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由兴银理财有限责任公司发行与管理，乙方既作为理财产品的销售机构，又是理财产品管理人，对理财产品的业绩不承担任何保证和其他经济责任。乙方受理的销售理财产品业务申请，以产品管理人的最终确认结果为准。</w:t>
      </w:r>
    </w:p>
    <w:p w14:paraId="4461009E">
      <w:pPr>
        <w:widowControl/>
        <w:spacing w:line="360" w:lineRule="auto"/>
        <w:jc w:val="left"/>
        <w:rPr>
          <w:rFonts w:ascii="黑体" w:hAnsi="黑体" w:eastAsia="黑体" w:cs="仿宋_GB2312"/>
          <w:kern w:val="0"/>
          <w:sz w:val="18"/>
          <w:szCs w:val="18"/>
        </w:rPr>
      </w:pPr>
      <w:permStart w:id="21" w:edGrp="everyone"/>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代销适用</w:t>
      </w:r>
    </w:p>
    <w:permEnd w:id="21"/>
    <w:p w14:paraId="5797C074">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由兴银理财有限责任公司发行与管理，乙方仅作为理财产品的代理销售机构，非理财产品管理人，对理财产品的业绩不承担任何保证和其他经济责任，不承担理财产品的投资和兑付责任。乙方受理的销售理财产品业务申请，以产品管理人的最终确认结果为准。</w:t>
      </w:r>
    </w:p>
    <w:p w14:paraId="63D4972D">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hint="eastAsia" w:ascii="宋体" w:hAnsi="宋体" w:cs="仿宋_GB2312"/>
          <w:kern w:val="0"/>
          <w:sz w:val="18"/>
          <w:szCs w:val="18"/>
        </w:rPr>
        <w:t>》《产品说明书》《（代理）销售</w:t>
      </w:r>
      <w:r>
        <w:rPr>
          <w:rFonts w:ascii="宋体" w:hAnsi="宋体" w:cs="仿宋_GB2312"/>
          <w:kern w:val="0"/>
          <w:sz w:val="18"/>
          <w:szCs w:val="18"/>
        </w:rPr>
        <w:t>协议书</w:t>
      </w:r>
      <w:r>
        <w:rPr>
          <w:rFonts w:hint="eastAsia" w:ascii="宋体" w:hAnsi="宋体" w:cs="仿宋_GB2312"/>
          <w:kern w:val="0"/>
          <w:sz w:val="18"/>
          <w:szCs w:val="18"/>
        </w:rPr>
        <w:t>》《风险揭示书》《投资者权益须知》等完整</w:t>
      </w:r>
      <w:r>
        <w:rPr>
          <w:rFonts w:ascii="宋体" w:hAnsi="宋体" w:cs="仿宋_GB2312"/>
          <w:kern w:val="0"/>
          <w:sz w:val="18"/>
          <w:szCs w:val="18"/>
        </w:rPr>
        <w:t>的</w:t>
      </w:r>
      <w:r>
        <w:rPr>
          <w:rFonts w:hint="eastAsia" w:ascii="宋体" w:hAnsi="宋体" w:cs="仿宋_GB2312"/>
          <w:kern w:val="0"/>
          <w:sz w:val="18"/>
          <w:szCs w:val="18"/>
        </w:rPr>
        <w:t>理财产品销售文件，并充分了解投资者的全部权利与义务以及理财产品的全部风险。</w:t>
      </w:r>
    </w:p>
    <w:p w14:paraId="6A8592A9">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w:t>
      </w:r>
      <w:permStart w:id="22" w:edGrp="everyone"/>
      <w:r>
        <w:rPr>
          <w:rFonts w:hint="eastAsia" w:ascii="宋体" w:hAnsi="宋体" w:cs="仿宋_GB2312"/>
          <w:kern w:val="0"/>
          <w:sz w:val="18"/>
          <w:szCs w:val="18"/>
        </w:rPr>
        <w:t>【】</w:t>
      </w:r>
      <w:permEnd w:id="22"/>
      <w:r>
        <w:rPr>
          <w:rFonts w:hint="eastAsia" w:ascii="宋体" w:hAnsi="宋体" w:cs="仿宋_GB2312"/>
          <w:kern w:val="0"/>
          <w:sz w:val="18"/>
          <w:szCs w:val="18"/>
        </w:rPr>
        <w:t>个风险等级</w:t>
      </w:r>
      <w:r>
        <w:rPr>
          <w:rFonts w:ascii="宋体" w:hAnsi="宋体" w:cs="仿宋_GB2312"/>
          <w:kern w:val="0"/>
          <w:sz w:val="18"/>
          <w:szCs w:val="18"/>
        </w:rPr>
        <w:t>：</w:t>
      </w:r>
      <w:permStart w:id="23" w:edGrp="everyone"/>
      <w:r>
        <w:rPr>
          <w:rFonts w:hint="eastAsia" w:ascii="宋体" w:hAnsi="宋体" w:cs="仿宋_GB2312"/>
          <w:kern w:val="0"/>
          <w:sz w:val="18"/>
          <w:szCs w:val="18"/>
        </w:rPr>
        <w:t>【】</w:t>
      </w:r>
      <w:permEnd w:id="23"/>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14:paraId="00D75D50">
      <w:pPr>
        <w:widowControl/>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应采用对应较高风险的评级结果。</w:t>
      </w:r>
    </w:p>
    <w:p w14:paraId="16CD95D8">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14:paraId="4D17DD8C">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14:paraId="7086F2C1">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14:paraId="6F80C521">
      <w:pPr>
        <w:pStyle w:val="15"/>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（3）</w:t>
      </w:r>
      <w:r>
        <w:rPr>
          <w:rFonts w:hint="eastAsia" w:hAnsi="宋体" w:cs="仿宋_GB2312"/>
          <w:sz w:val="18"/>
          <w:szCs w:val="18"/>
        </w:rPr>
        <w:t>甲方应根据风险承受能力选择与其风险承受能力相匹配的风险等级的理财产品，不得购买高于甲方风险承受能力的理财产品。</w:t>
      </w:r>
    </w:p>
    <w:p w14:paraId="67FC08E5">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14:paraId="3A44B584">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w:t>
      </w:r>
      <w:r>
        <w:rPr>
          <w:rFonts w:hint="eastAsia" w:ascii="宋体" w:hAnsi="宋体" w:cs="仿宋_GB2312"/>
          <w:kern w:val="0"/>
          <w:sz w:val="18"/>
          <w:szCs w:val="18"/>
          <w:lang w:val="en-US" w:eastAsia="zh-CN"/>
        </w:rPr>
        <w:t>普通</w:t>
      </w:r>
      <w:r>
        <w:rPr>
          <w:rFonts w:hint="eastAsia" w:ascii="宋体" w:hAnsi="宋体" w:cs="仿宋_GB2312"/>
          <w:kern w:val="0"/>
          <w:sz w:val="18"/>
          <w:szCs w:val="18"/>
        </w:rPr>
        <w:t>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14:paraId="7991E43A">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w:t>
      </w:r>
      <w:r>
        <w:rPr>
          <w:rFonts w:hint="eastAsia" w:ascii="宋体" w:hAnsi="宋体" w:cs="仿宋_GB2312"/>
          <w:kern w:val="0"/>
          <w:sz w:val="18"/>
          <w:szCs w:val="18"/>
          <w:lang w:val="en-US" w:eastAsia="zh-CN"/>
        </w:rPr>
        <w:t>专业</w:t>
      </w:r>
      <w:r>
        <w:rPr>
          <w:rFonts w:hint="eastAsia" w:ascii="宋体" w:hAnsi="宋体" w:cs="仿宋_GB2312"/>
          <w:kern w:val="0"/>
          <w:sz w:val="18"/>
          <w:szCs w:val="18"/>
        </w:rPr>
        <w:t>投资者的风险承受能力评估按销售机构的以下销售政策执行：</w:t>
      </w:r>
    </w:p>
    <w:p w14:paraId="452BAF00">
      <w:pPr>
        <w:widowControl/>
        <w:spacing w:line="360" w:lineRule="auto"/>
        <w:jc w:val="left"/>
        <w:rPr>
          <w:rFonts w:asciiTheme="majorEastAsia" w:hAnsiTheme="majorEastAsia" w:eastAsiaTheme="majorEastAsia"/>
          <w:sz w:val="18"/>
          <w:szCs w:val="18"/>
        </w:rPr>
      </w:pPr>
      <w:permStart w:id="24" w:edGrp="everyone"/>
      <w:r>
        <w:rPr>
          <w:rFonts w:hint="eastAsia" w:ascii="黑体" w:hAnsi="黑体" w:eastAsia="黑体"/>
          <w:bCs/>
          <w:sz w:val="18"/>
          <w:szCs w:val="18"/>
        </w:rPr>
        <w:t>□</w:t>
      </w:r>
      <w:r>
        <w:rPr>
          <w:rFonts w:hint="eastAsia" w:asciiTheme="majorEastAsia" w:hAnsiTheme="majorEastAsia" w:eastAsiaTheme="majorEastAsia"/>
          <w:sz w:val="18"/>
          <w:szCs w:val="18"/>
        </w:rPr>
        <w:t xml:space="preserve"> </w:t>
      </w:r>
      <w:permEnd w:id="24"/>
      <w:r>
        <w:rPr>
          <w:rFonts w:hint="eastAsia" w:asciiTheme="majorEastAsia" w:hAnsiTheme="majorEastAsia" w:eastAsiaTheme="majorEastAsia"/>
          <w:sz w:val="18"/>
          <w:szCs w:val="18"/>
        </w:rPr>
        <w:t>参照本条第（1）款</w:t>
      </w:r>
      <w:r>
        <w:rPr>
          <w:rFonts w:hint="eastAsia" w:asciiTheme="majorEastAsia" w:hAnsiTheme="majorEastAsia" w:eastAsiaTheme="majorEastAsia"/>
          <w:sz w:val="18"/>
          <w:szCs w:val="18"/>
          <w:lang w:val="en-US" w:eastAsia="zh-CN"/>
        </w:rPr>
        <w:t>普通</w:t>
      </w:r>
      <w:r>
        <w:rPr>
          <w:rFonts w:hint="eastAsia" w:asciiTheme="majorEastAsia" w:hAnsiTheme="majorEastAsia" w:eastAsiaTheme="majorEastAsia"/>
          <w:sz w:val="18"/>
          <w:szCs w:val="18"/>
        </w:rPr>
        <w:t>投资者要求执行；</w:t>
      </w:r>
    </w:p>
    <w:p w14:paraId="414EAD52">
      <w:pPr>
        <w:widowControl/>
        <w:spacing w:line="360" w:lineRule="auto"/>
        <w:jc w:val="left"/>
        <w:rPr>
          <w:rFonts w:asciiTheme="majorEastAsia" w:hAnsiTheme="majorEastAsia" w:eastAsiaTheme="majorEastAsia"/>
          <w:sz w:val="18"/>
          <w:szCs w:val="18"/>
        </w:rPr>
      </w:pPr>
      <w:permStart w:id="25" w:edGrp="everyone"/>
      <w:r>
        <w:rPr>
          <w:rFonts w:hint="eastAsia" w:ascii="黑体" w:hAnsi="黑体" w:eastAsia="黑体"/>
          <w:bCs/>
          <w:sz w:val="18"/>
          <w:szCs w:val="18"/>
        </w:rPr>
        <w:t>□</w:t>
      </w:r>
      <w:r>
        <w:rPr>
          <w:rFonts w:hint="eastAsia" w:asciiTheme="majorEastAsia" w:hAnsiTheme="majorEastAsia" w:eastAsiaTheme="majorEastAsia"/>
          <w:sz w:val="18"/>
          <w:szCs w:val="18"/>
        </w:rPr>
        <w:t xml:space="preserve"> </w:t>
      </w:r>
      <w:permEnd w:id="25"/>
      <w:r>
        <w:rPr>
          <w:rFonts w:hint="eastAsia" w:asciiTheme="majorEastAsia" w:hAnsiTheme="majorEastAsia" w:eastAsiaTheme="majorEastAsia"/>
          <w:sz w:val="18"/>
          <w:szCs w:val="18"/>
        </w:rPr>
        <w:t>其他：</w:t>
      </w:r>
      <w:permStart w:id="26" w:edGrp="everyone"/>
      <w:r>
        <w:rPr>
          <w:rFonts w:hint="eastAsia" w:asciiTheme="majorEastAsia" w:hAnsiTheme="majorEastAsia" w:eastAsiaTheme="majorEastAsia"/>
          <w:sz w:val="18"/>
          <w:szCs w:val="18"/>
          <w:u w:val="single"/>
        </w:rPr>
        <w:t xml:space="preserve">                               。</w:t>
      </w:r>
      <w:permEnd w:id="26"/>
    </w:p>
    <w:p w14:paraId="28223F2F">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14:paraId="3657074A">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14:paraId="5E9AA795">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14:paraId="1FA5F085">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14:paraId="60E80214">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14:paraId="5C82A6A1">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14:paraId="216B3688">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w:t>
      </w:r>
      <w:r>
        <w:rPr>
          <w:rFonts w:hint="eastAsia" w:ascii="黑体" w:hAnsi="黑体" w:eastAsia="黑体" w:cs="仿宋_GB2312"/>
          <w:kern w:val="0"/>
          <w:sz w:val="18"/>
          <w:szCs w:val="18"/>
        </w:rPr>
        <w:t>.</w:t>
      </w:r>
      <w:r>
        <w:rPr>
          <w:rFonts w:ascii="黑体" w:hAnsi="黑体" w:eastAsia="黑体" w:cs="仿宋_GB2312"/>
          <w:kern w:val="0"/>
          <w:sz w:val="18"/>
          <w:szCs w:val="18"/>
        </w:rPr>
        <w:t>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14:paraId="52000589">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反欺诈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14:paraId="1CCF4BCC">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14:paraId="00C029DE">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14:paraId="705929C1">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w:t>
      </w:r>
      <w:r>
        <w:rPr>
          <w:rFonts w:hint="eastAsia" w:ascii="宋体" w:hAnsi="宋体" w:cs="仿宋_GB2312"/>
          <w:kern w:val="0"/>
          <w:sz w:val="18"/>
          <w:szCs w:val="18"/>
          <w:lang w:val="en-US" w:eastAsia="zh-CN"/>
        </w:rPr>
        <w:t>欺诈、</w:t>
      </w:r>
      <w:r>
        <w:rPr>
          <w:rFonts w:hint="eastAsia" w:ascii="宋体" w:hAnsi="宋体" w:cs="仿宋_GB2312"/>
          <w:kern w:val="0"/>
          <w:sz w:val="18"/>
          <w:szCs w:val="18"/>
        </w:rPr>
        <w:t>恐怖融资、逃税活动等违法行为。乙方发现或有合理理由怀疑甲方、甲方资金或甲方交易行为涉嫌洗钱、</w:t>
      </w:r>
      <w:r>
        <w:rPr>
          <w:rFonts w:hint="eastAsia" w:ascii="宋体" w:hAnsi="宋体" w:cs="仿宋_GB2312"/>
          <w:kern w:val="0"/>
          <w:sz w:val="18"/>
          <w:szCs w:val="18"/>
          <w:lang w:val="en-US" w:eastAsia="zh-CN"/>
        </w:rPr>
        <w:t>欺诈、</w:t>
      </w:r>
      <w:r>
        <w:rPr>
          <w:rFonts w:hint="eastAsia" w:ascii="宋体" w:hAnsi="宋体" w:cs="仿宋_GB2312"/>
          <w:kern w:val="0"/>
          <w:sz w:val="18"/>
          <w:szCs w:val="18"/>
        </w:rPr>
        <w:t>恐怖融资、逃税等犯罪活动相关的，乙方有权提前终止本协议，造成甲方损失的，乙方不承担责任。</w:t>
      </w:r>
    </w:p>
    <w:p w14:paraId="16F1A655">
      <w:pPr>
        <w:widowControl/>
        <w:spacing w:line="360" w:lineRule="auto"/>
        <w:jc w:val="left"/>
        <w:rPr>
          <w:rFonts w:ascii="宋体" w:hAnsi="宋体" w:cs="仿宋_GB2312"/>
          <w:kern w:val="0"/>
          <w:sz w:val="18"/>
          <w:szCs w:val="18"/>
        </w:rPr>
      </w:pPr>
    </w:p>
    <w:p w14:paraId="2D4E09FA">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第二条 免责条款</w:t>
      </w:r>
    </w:p>
    <w:p w14:paraId="38C981C8">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14:paraId="64311CE9">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14:paraId="34FC2460">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14:paraId="713E76EB">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14:paraId="5E505CCD">
      <w:pPr>
        <w:widowControl/>
        <w:spacing w:line="360" w:lineRule="auto"/>
        <w:jc w:val="left"/>
        <w:rPr>
          <w:rFonts w:ascii="宋体" w:hAnsi="宋体" w:cs="仿宋_GB2312"/>
          <w:kern w:val="0"/>
          <w:sz w:val="18"/>
          <w:szCs w:val="18"/>
        </w:rPr>
      </w:pPr>
    </w:p>
    <w:p w14:paraId="210C3366">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第三条 争议处理</w:t>
      </w:r>
    </w:p>
    <w:p w14:paraId="3DB3D3DE">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14:paraId="084EE2CA">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14:paraId="4CA7D163">
      <w:pPr>
        <w:widowControl/>
        <w:spacing w:line="360" w:lineRule="auto"/>
        <w:jc w:val="left"/>
        <w:rPr>
          <w:rFonts w:ascii="宋体" w:hAnsi="宋体" w:cs="仿宋_GB2312"/>
          <w:kern w:val="0"/>
          <w:sz w:val="18"/>
          <w:szCs w:val="18"/>
        </w:rPr>
      </w:pPr>
    </w:p>
    <w:p w14:paraId="35FDB66C">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第四条 协议的生效和终止</w:t>
      </w:r>
    </w:p>
    <w:p w14:paraId="32570937">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w:t>
      </w:r>
      <w:r>
        <w:rPr>
          <w:rFonts w:hint="eastAsia" w:ascii="宋体" w:hAnsi="宋体" w:cs="仿宋_GB2312"/>
          <w:kern w:val="0"/>
          <w:sz w:val="18"/>
          <w:szCs w:val="18"/>
        </w:rPr>
        <w:t>协议生效</w:t>
      </w:r>
    </w:p>
    <w:p w14:paraId="7FA6437C">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甲方通过乙方线下渠道购买理财产品的，本协议经甲方签名或盖章且乙方盖柜面业务章后生效（为避免歧义，乙方相关业务人员在本协议的签字仅为乙方内部风险控制要求，并不作为协议成立的条件，下同）。</w:t>
      </w:r>
    </w:p>
    <w:p w14:paraId="3087CEE3">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14:paraId="1CDA9F7C">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14:paraId="0CB5B387">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14:paraId="55C2C2F3">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3.其他</w:t>
      </w:r>
    </w:p>
    <w:p w14:paraId="12AC514A">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14:paraId="4C363DFD">
      <w:pPr>
        <w:widowControl/>
        <w:spacing w:line="360" w:lineRule="auto"/>
        <w:jc w:val="left"/>
        <w:rPr>
          <w:rFonts w:ascii="宋体" w:hAnsi="宋体" w:cs="仿宋_GB2312"/>
          <w:b/>
          <w:kern w:val="0"/>
          <w:sz w:val="18"/>
          <w:szCs w:val="18"/>
        </w:rPr>
      </w:pPr>
    </w:p>
    <w:p w14:paraId="5D5A8A97">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甲方声明：</w:t>
      </w:r>
    </w:p>
    <w:p w14:paraId="183D983A">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1)甲方已经收到所购买乙方销售的理财产品的《投资协议书</w:t>
      </w:r>
      <w:r>
        <w:rPr>
          <w:rFonts w:hint="eastAsia" w:ascii="黑体" w:hAnsi="黑体" w:eastAsia="黑体" w:cs="仿宋_GB2312"/>
          <w:kern w:val="0"/>
          <w:sz w:val="18"/>
          <w:szCs w:val="18"/>
        </w:rPr>
        <w:t>》《产品说明书</w:t>
      </w:r>
      <w:r>
        <w:rPr>
          <w:rFonts w:ascii="黑体" w:hAnsi="黑体" w:eastAsia="黑体" w:cs="仿宋_GB2312"/>
          <w:kern w:val="0"/>
          <w:sz w:val="18"/>
          <w:szCs w:val="18"/>
        </w:rPr>
        <w:t>》《</w:t>
      </w:r>
      <w:r>
        <w:rPr>
          <w:rFonts w:hint="eastAsia" w:ascii="黑体" w:hAnsi="黑体" w:eastAsia="黑体" w:cs="仿宋_GB2312"/>
          <w:kern w:val="0"/>
          <w:sz w:val="18"/>
          <w:szCs w:val="18"/>
        </w:rPr>
        <w:t>（代理）销售协议书</w:t>
      </w:r>
      <w:r>
        <w:rPr>
          <w:rFonts w:ascii="黑体" w:hAnsi="黑体" w:eastAsia="黑体" w:cs="仿宋_GB2312"/>
          <w:kern w:val="0"/>
          <w:sz w:val="18"/>
          <w:szCs w:val="18"/>
        </w:rPr>
        <w:t>》《</w:t>
      </w:r>
      <w:r>
        <w:rPr>
          <w:rFonts w:hint="eastAsia" w:ascii="黑体" w:hAnsi="黑体" w:eastAsia="黑体" w:cs="仿宋_GB2312"/>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、赎回理财产品所产生的相关风险和不利后果。</w:t>
      </w:r>
    </w:p>
    <w:p w14:paraId="174D7414">
      <w:pPr>
        <w:widowControl/>
        <w:spacing w:line="360" w:lineRule="auto"/>
        <w:jc w:val="left"/>
        <w:rPr>
          <w:rFonts w:hint="eastAsia" w:ascii="黑体" w:hAnsi="黑体" w:eastAsia="黑体" w:cs="仿宋_GB2312"/>
          <w:kern w:val="0"/>
          <w:sz w:val="18"/>
          <w:szCs w:val="18"/>
        </w:rPr>
      </w:pPr>
      <w:r>
        <w:rPr>
          <w:rFonts w:hint="eastAsia" w:ascii="黑体" w:hAnsi="黑体" w:eastAsia="黑体" w:cs="仿宋_GB2312"/>
          <w:kern w:val="0"/>
          <w:sz w:val="18"/>
          <w:szCs w:val="18"/>
        </w:rPr>
        <w:t>（2)甲方确认乙方相关业务人员对于本协议中有关增加甲方义务、限制甲方权利以及免除、限制乙方责任和乙方拥有权利的条款已向甲方予以解释说明，甲方自愿接受上述条款的约束，双方对本协议条款的理解已完全达成一致。</w:t>
      </w:r>
    </w:p>
    <w:p w14:paraId="780B5433">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14:paraId="39B84E3A">
      <w:pPr>
        <w:widowControl/>
        <w:jc w:val="left"/>
        <w:rPr>
          <w:rFonts w:ascii="宋体" w:hAnsi="宋体" w:cs="仿宋_GB2312"/>
          <w:b/>
          <w:kern w:val="0"/>
          <w:sz w:val="18"/>
          <w:szCs w:val="18"/>
        </w:rPr>
      </w:pPr>
      <w:r>
        <w:rPr>
          <w:rFonts w:ascii="宋体" w:hAnsi="宋体" w:cs="仿宋_GB2312"/>
          <w:b/>
          <w:kern w:val="0"/>
          <w:sz w:val="18"/>
          <w:szCs w:val="18"/>
        </w:rPr>
        <w:br w:type="page"/>
      </w:r>
    </w:p>
    <w:p w14:paraId="44E45508">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14:paraId="4CD67AE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14:paraId="31CE5B44">
            <w:pPr>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签署栏</w:t>
            </w:r>
          </w:p>
        </w:tc>
      </w:tr>
      <w:tr w14:paraId="68417E8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14:paraId="43AEBA11">
            <w:pPr>
              <w:tabs>
                <w:tab w:val="left" w:pos="8070"/>
                <w:tab w:val="right" w:pos="8306"/>
              </w:tabs>
              <w:autoSpaceDE w:val="0"/>
              <w:autoSpaceDN w:val="0"/>
              <w:adjustRightInd w:val="0"/>
              <w:snapToGrid w:val="0"/>
              <w:spacing w:line="360" w:lineRule="auto"/>
              <w:jc w:val="center"/>
              <w:rPr>
                <w:rFonts w:ascii="黑体" w:hAnsi="黑体" w:eastAsia="黑体"/>
                <w:kern w:val="0"/>
                <w:sz w:val="18"/>
                <w:szCs w:val="18"/>
              </w:rPr>
            </w:pPr>
            <w:r>
              <w:rPr>
                <w:rFonts w:hint="eastAsia" w:ascii="黑体" w:hAnsi="黑体" w:eastAsia="黑体"/>
                <w:kern w:val="0"/>
                <w:sz w:val="18"/>
                <w:szCs w:val="18"/>
              </w:rPr>
              <w:t>★</w:t>
            </w:r>
          </w:p>
          <w:p w14:paraId="30013A10">
            <w:pPr>
              <w:tabs>
                <w:tab w:val="left" w:pos="8070"/>
                <w:tab w:val="right" w:pos="8306"/>
              </w:tabs>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签署声明</w:t>
            </w:r>
          </w:p>
        </w:tc>
        <w:tc>
          <w:tcPr>
            <w:tcW w:w="7849" w:type="dxa"/>
            <w:gridSpan w:val="2"/>
          </w:tcPr>
          <w:p w14:paraId="4834630E">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1</w:t>
            </w:r>
            <w:r>
              <w:rPr>
                <w:rFonts w:hint="eastAsia" w:ascii="黑体" w:hAnsi="黑体" w:eastAsia="黑体"/>
                <w:kern w:val="0"/>
                <w:sz w:val="18"/>
                <w:szCs w:val="18"/>
              </w:rPr>
              <w:t>.</w:t>
            </w:r>
            <w:r>
              <w:rPr>
                <w:rFonts w:ascii="黑体" w:hAnsi="黑体" w:eastAsia="黑体"/>
                <w:kern w:val="0"/>
                <w:sz w:val="18"/>
                <w:szCs w:val="18"/>
              </w:rPr>
              <w:t>在签署本《</w:t>
            </w:r>
            <w:r>
              <w:rPr>
                <w:rFonts w:hint="eastAsia" w:ascii="黑体" w:hAnsi="黑体" w:eastAsia="黑体"/>
                <w:kern w:val="0"/>
                <w:sz w:val="18"/>
                <w:szCs w:val="18"/>
              </w:rPr>
              <w:t>（代理）</w:t>
            </w:r>
            <w:r>
              <w:rPr>
                <w:rFonts w:ascii="黑体" w:hAnsi="黑体" w:eastAsia="黑体"/>
                <w:kern w:val="0"/>
                <w:sz w:val="18"/>
                <w:szCs w:val="18"/>
              </w:rPr>
              <w:t>销售协议书》以前，甲方已认真阅读理财产品销售文件（包括但不限于《</w:t>
            </w:r>
            <w:r>
              <w:rPr>
                <w:rFonts w:hint="eastAsia" w:ascii="黑体" w:hAnsi="黑体" w:eastAsia="黑体"/>
                <w:kern w:val="0"/>
                <w:sz w:val="18"/>
                <w:szCs w:val="18"/>
              </w:rPr>
              <w:t>投资</w:t>
            </w:r>
            <w:r>
              <w:rPr>
                <w:rFonts w:ascii="黑体" w:hAnsi="黑体" w:eastAsia="黑体"/>
                <w:kern w:val="0"/>
                <w:sz w:val="18"/>
                <w:szCs w:val="18"/>
              </w:rPr>
              <w:t>协议书》《产品说明书》《</w:t>
            </w:r>
            <w:r>
              <w:rPr>
                <w:rFonts w:hint="eastAsia" w:ascii="黑体" w:hAnsi="黑体" w:eastAsia="黑体"/>
                <w:kern w:val="0"/>
                <w:sz w:val="18"/>
                <w:szCs w:val="18"/>
              </w:rPr>
              <w:t>（代理）销售</w:t>
            </w:r>
            <w:r>
              <w:rPr>
                <w:rFonts w:ascii="黑体" w:hAnsi="黑体" w:eastAsia="黑体"/>
                <w:kern w:val="0"/>
                <w:sz w:val="18"/>
                <w:szCs w:val="18"/>
              </w:rPr>
              <w:t>协议书</w:t>
            </w:r>
            <w:r>
              <w:rPr>
                <w:rFonts w:hint="eastAsia" w:ascii="黑体" w:hAnsi="黑体" w:eastAsia="黑体"/>
                <w:kern w:val="0"/>
                <w:sz w:val="18"/>
                <w:szCs w:val="18"/>
              </w:rPr>
              <w:t>》《</w:t>
            </w:r>
            <w:r>
              <w:rPr>
                <w:rFonts w:ascii="黑体" w:hAnsi="黑体" w:eastAsia="黑体"/>
                <w:kern w:val="0"/>
                <w:sz w:val="18"/>
                <w:szCs w:val="18"/>
              </w:rPr>
              <w:t>风险揭示书》《投资者权益须知》等文件）的全部内容，</w:t>
            </w:r>
            <w:r>
              <w:rPr>
                <w:rFonts w:hint="eastAsia" w:ascii="黑体" w:hAnsi="黑体" w:eastAsia="黑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14:paraId="63416F4D">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.甲方</w:t>
            </w:r>
            <w:r>
              <w:rPr>
                <w:rFonts w:ascii="黑体" w:hAnsi="黑体" w:eastAsia="黑体"/>
                <w:kern w:val="0"/>
                <w:sz w:val="18"/>
                <w:szCs w:val="18"/>
              </w:rPr>
              <w:t>已认真阅读并充分理解包括但不限于《</w:t>
            </w:r>
            <w:r>
              <w:rPr>
                <w:rFonts w:hint="eastAsia" w:ascii="黑体" w:hAnsi="黑体" w:eastAsia="黑体"/>
                <w:kern w:val="0"/>
                <w:sz w:val="18"/>
                <w:szCs w:val="18"/>
              </w:rPr>
              <w:t>（代理）</w:t>
            </w:r>
            <w:r>
              <w:rPr>
                <w:rFonts w:ascii="黑体" w:hAnsi="黑体" w:eastAsia="黑体"/>
                <w:kern w:val="0"/>
                <w:sz w:val="18"/>
                <w:szCs w:val="18"/>
              </w:rPr>
              <w:t>销售协议书》</w:t>
            </w:r>
            <w:r>
              <w:rPr>
                <w:rFonts w:hint="eastAsia" w:ascii="黑体" w:hAnsi="黑体" w:eastAsia="黑体"/>
                <w:kern w:val="0"/>
                <w:sz w:val="18"/>
                <w:szCs w:val="18"/>
              </w:rPr>
              <w:t>等全套理财产品销售文件</w:t>
            </w:r>
            <w:r>
              <w:rPr>
                <w:rFonts w:ascii="黑体" w:hAnsi="黑体" w:eastAsia="黑体"/>
                <w:kern w:val="0"/>
                <w:sz w:val="18"/>
                <w:szCs w:val="18"/>
              </w:rPr>
              <w:t>关于投资理财产品及其全部风险的有关内容，同意本次</w:t>
            </w:r>
            <w:r>
              <w:rPr>
                <w:rFonts w:hint="eastAsia" w:ascii="黑体" w:hAnsi="黑体" w:eastAsia="黑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14:paraId="5AA65E5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74" w:hRule="exact"/>
        </w:trPr>
        <w:tc>
          <w:tcPr>
            <w:tcW w:w="675" w:type="dxa"/>
            <w:vMerge w:val="restart"/>
            <w:vAlign w:val="center"/>
          </w:tcPr>
          <w:p w14:paraId="23334B86">
            <w:pPr>
              <w:spacing w:line="360" w:lineRule="auto"/>
              <w:jc w:val="center"/>
              <w:rPr>
                <w:b/>
                <w:kern w:val="0"/>
                <w:sz w:val="18"/>
                <w:szCs w:val="18"/>
              </w:rPr>
            </w:pPr>
            <w:r>
              <w:rPr>
                <w:rFonts w:hint="eastAsia"/>
                <w:b/>
                <w:kern w:val="0"/>
                <w:sz w:val="18"/>
                <w:szCs w:val="18"/>
              </w:rPr>
              <w:t>甲方签署栏</w:t>
            </w:r>
          </w:p>
        </w:tc>
        <w:tc>
          <w:tcPr>
            <w:tcW w:w="851" w:type="dxa"/>
          </w:tcPr>
          <w:p w14:paraId="48B6DAC4">
            <w:pPr>
              <w:spacing w:line="360" w:lineRule="auto"/>
              <w:rPr>
                <w:kern w:val="0"/>
                <w:sz w:val="18"/>
                <w:szCs w:val="18"/>
              </w:rPr>
            </w:pPr>
            <w:r>
              <w:rPr>
                <w:rFonts w:hint="eastAsia"/>
                <w:kern w:val="0"/>
                <w:sz w:val="18"/>
                <w:szCs w:val="18"/>
              </w:rPr>
              <w:t>个人投资者适用</w:t>
            </w:r>
          </w:p>
        </w:tc>
        <w:tc>
          <w:tcPr>
            <w:tcW w:w="6998" w:type="dxa"/>
          </w:tcPr>
          <w:p w14:paraId="41A91742">
            <w:pPr>
              <w:spacing w:line="360" w:lineRule="auto"/>
              <w:rPr>
                <w:kern w:val="0"/>
                <w:sz w:val="18"/>
                <w:szCs w:val="18"/>
              </w:rPr>
            </w:pPr>
            <w:r>
              <w:rPr>
                <w:rFonts w:hint="eastAsia"/>
                <w:kern w:val="0"/>
                <w:sz w:val="18"/>
                <w:szCs w:val="18"/>
              </w:rPr>
              <w:t>甲方（签名/线上确认）：</w:t>
            </w:r>
          </w:p>
          <w:p w14:paraId="24AA7EEA">
            <w:pPr>
              <w:spacing w:line="360" w:lineRule="auto"/>
              <w:rPr>
                <w:b/>
                <w:kern w:val="0"/>
                <w:sz w:val="18"/>
                <w:szCs w:val="18"/>
              </w:rPr>
            </w:pPr>
          </w:p>
          <w:p w14:paraId="7703433B">
            <w:pPr>
              <w:spacing w:line="360" w:lineRule="auto"/>
              <w:rPr>
                <w:b/>
                <w:kern w:val="0"/>
                <w:sz w:val="18"/>
                <w:szCs w:val="18"/>
              </w:rPr>
            </w:pPr>
            <w:r>
              <w:rPr>
                <w:rFonts w:hint="eastAsia"/>
                <w:kern w:val="0"/>
                <w:sz w:val="18"/>
                <w:szCs w:val="18"/>
              </w:rPr>
              <w:t>日期：</w:t>
            </w:r>
          </w:p>
        </w:tc>
      </w:tr>
      <w:tr w14:paraId="01BEF81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14:paraId="71E4E27D">
            <w:pPr>
              <w:spacing w:line="360" w:lineRule="auto"/>
              <w:rPr>
                <w:b/>
                <w:kern w:val="0"/>
                <w:sz w:val="18"/>
                <w:szCs w:val="18"/>
              </w:rPr>
            </w:pPr>
          </w:p>
        </w:tc>
        <w:tc>
          <w:tcPr>
            <w:tcW w:w="851" w:type="dxa"/>
          </w:tcPr>
          <w:p w14:paraId="596BEA84">
            <w:pPr>
              <w:spacing w:line="360" w:lineRule="auto"/>
              <w:rPr>
                <w:kern w:val="0"/>
                <w:sz w:val="18"/>
                <w:szCs w:val="18"/>
              </w:rPr>
            </w:pPr>
            <w:r>
              <w:rPr>
                <w:rFonts w:hint="eastAsia"/>
                <w:kern w:val="0"/>
                <w:sz w:val="18"/>
                <w:szCs w:val="18"/>
              </w:rPr>
              <w:t>机构投资者适用</w:t>
            </w:r>
          </w:p>
        </w:tc>
        <w:tc>
          <w:tcPr>
            <w:tcW w:w="6998" w:type="dxa"/>
          </w:tcPr>
          <w:p w14:paraId="245B526E">
            <w:pPr>
              <w:spacing w:line="360" w:lineRule="auto"/>
              <w:rPr>
                <w:rFonts w:cs="Arial"/>
                <w:kern w:val="0"/>
                <w:sz w:val="18"/>
                <w:szCs w:val="18"/>
              </w:rPr>
            </w:pPr>
            <w:r>
              <w:rPr>
                <w:rFonts w:hint="eastAsia"/>
                <w:kern w:val="0"/>
                <w:sz w:val="18"/>
                <w:szCs w:val="18"/>
              </w:rPr>
              <w:t>甲方</w:t>
            </w:r>
            <w:r>
              <w:rPr>
                <w:rFonts w:hint="eastAsia" w:cs="Arial"/>
                <w:kern w:val="0"/>
                <w:sz w:val="18"/>
                <w:szCs w:val="18"/>
              </w:rPr>
              <w:t>（盖章/线上确认）：</w:t>
            </w:r>
          </w:p>
          <w:p w14:paraId="721B3C4E">
            <w:pPr>
              <w:spacing w:line="360" w:lineRule="auto"/>
              <w:rPr>
                <w:rFonts w:cs="Arial"/>
                <w:kern w:val="0"/>
                <w:sz w:val="18"/>
                <w:szCs w:val="18"/>
              </w:rPr>
            </w:pPr>
          </w:p>
          <w:p w14:paraId="2E6F8E9D">
            <w:pPr>
              <w:spacing w:line="360" w:lineRule="auto"/>
              <w:rPr>
                <w:rFonts w:cs="Arial"/>
                <w:kern w:val="0"/>
                <w:sz w:val="18"/>
                <w:szCs w:val="18"/>
              </w:rPr>
            </w:pPr>
            <w:r>
              <w:rPr>
                <w:rFonts w:hint="eastAsia" w:cs="Arial"/>
                <w:kern w:val="0"/>
                <w:sz w:val="18"/>
                <w:szCs w:val="18"/>
              </w:rPr>
              <w:t>甲方法定代表人或授权代理人（签名/盖章/线上确认）：</w:t>
            </w:r>
          </w:p>
          <w:p w14:paraId="751EE358">
            <w:pPr>
              <w:spacing w:line="360" w:lineRule="auto"/>
              <w:rPr>
                <w:kern w:val="0"/>
                <w:sz w:val="18"/>
                <w:szCs w:val="18"/>
              </w:rPr>
            </w:pPr>
            <w:r>
              <w:rPr>
                <w:rFonts w:hint="eastAsia"/>
                <w:kern w:val="0"/>
                <w:sz w:val="18"/>
                <w:szCs w:val="18"/>
              </w:rPr>
              <w:t>日期：</w:t>
            </w:r>
          </w:p>
        </w:tc>
      </w:tr>
      <w:tr w14:paraId="5F764E6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14:paraId="68958936">
            <w:pPr>
              <w:spacing w:line="360" w:lineRule="auto"/>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14:paraId="75F7C0D8">
            <w:pPr>
              <w:spacing w:line="360" w:lineRule="auto"/>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rFonts w:hint="eastAsia" w:cs="Arial"/>
                <w:kern w:val="0"/>
                <w:sz w:val="18"/>
                <w:szCs w:val="18"/>
              </w:rPr>
              <w:t>/线上确认</w:t>
            </w:r>
            <w:r>
              <w:rPr>
                <w:kern w:val="0"/>
                <w:sz w:val="18"/>
                <w:szCs w:val="18"/>
              </w:rPr>
              <w:t>）</w:t>
            </w:r>
            <w:r>
              <w:rPr>
                <w:rFonts w:hint="eastAsia"/>
                <w:kern w:val="0"/>
                <w:sz w:val="18"/>
                <w:szCs w:val="18"/>
              </w:rPr>
              <w:t>：</w:t>
            </w:r>
          </w:p>
          <w:p w14:paraId="70FEDFEA">
            <w:pPr>
              <w:spacing w:line="360" w:lineRule="auto"/>
              <w:rPr>
                <w:b/>
                <w:kern w:val="0"/>
                <w:sz w:val="18"/>
                <w:szCs w:val="18"/>
              </w:rPr>
            </w:pPr>
          </w:p>
          <w:p w14:paraId="0D5163B4">
            <w:pPr>
              <w:spacing w:line="360" w:lineRule="auto"/>
              <w:rPr>
                <w:kern w:val="0"/>
                <w:sz w:val="18"/>
                <w:szCs w:val="18"/>
              </w:rPr>
            </w:pPr>
            <w:r>
              <w:rPr>
                <w:rFonts w:hint="eastAsia"/>
                <w:kern w:val="0"/>
                <w:sz w:val="18"/>
                <w:szCs w:val="18"/>
              </w:rPr>
              <w:t>日期：</w:t>
            </w:r>
          </w:p>
        </w:tc>
      </w:tr>
    </w:tbl>
    <w:p w14:paraId="4CAA24CD">
      <w:pPr>
        <w:spacing w:line="360" w:lineRule="auto"/>
        <w:jc w:val="left"/>
        <w:rPr>
          <w:rFonts w:ascii="宋体" w:hAnsi="宋体"/>
          <w:b/>
          <w:sz w:val="18"/>
          <w:szCs w:val="18"/>
        </w:rPr>
      </w:pPr>
      <w:r>
        <w:rPr>
          <w:rFonts w:hint="eastAsia" w:ascii="宋体" w:hAnsi="宋体"/>
          <w:b/>
          <w:sz w:val="18"/>
          <w:szCs w:val="18"/>
        </w:rPr>
        <w:t>（本《（代理）销售协议书》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14:paraId="158F7CB7"/>
    <w:sectPr>
      <w:headerReference r:id="rId3" w:type="default"/>
      <w:footerReference r:id="rId4" w:type="default"/>
      <w:pgSz w:w="11906" w:h="16838"/>
      <w:pgMar w:top="1440" w:right="1800" w:bottom="1440" w:left="1800" w:header="567"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4442659"/>
    </w:sdtPr>
    <w:sdtContent>
      <w:p w14:paraId="5F5F5FA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C08FD">
    <w:pPr>
      <w:pStyle w:val="5"/>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14:paraId="2E1EB0A5">
    <w:pPr>
      <w:pStyle w:val="5"/>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dit="readOnly" w:enforcement="1" w:cryptProviderType="rsaFull" w:cryptAlgorithmClass="hash" w:cryptAlgorithmType="typeAny" w:cryptAlgorithmSid="4" w:cryptSpinCount="0" w:hash="t85noiMIorF2kgJd/i+1rRWTLOo=" w:salt="I1aZdfYk1f+t7dpB6VaDsg=="/>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wNTljODZlNmMxN2IxODkyNGQ0MzYwYjkyOGU4YWIifQ=="/>
  </w:docVars>
  <w:rsids>
    <w:rsidRoot w:val="00850C0B"/>
    <w:rsid w:val="00002873"/>
    <w:rsid w:val="00014ADA"/>
    <w:rsid w:val="0001651D"/>
    <w:rsid w:val="00054BE7"/>
    <w:rsid w:val="00092F58"/>
    <w:rsid w:val="000D097A"/>
    <w:rsid w:val="000E15A8"/>
    <w:rsid w:val="000F142C"/>
    <w:rsid w:val="00120AB9"/>
    <w:rsid w:val="00171AEC"/>
    <w:rsid w:val="00171F73"/>
    <w:rsid w:val="0017268F"/>
    <w:rsid w:val="001A3E4E"/>
    <w:rsid w:val="001D2168"/>
    <w:rsid w:val="001D5BB4"/>
    <w:rsid w:val="001E6B70"/>
    <w:rsid w:val="00217DEF"/>
    <w:rsid w:val="00263CF4"/>
    <w:rsid w:val="002818BE"/>
    <w:rsid w:val="002832E4"/>
    <w:rsid w:val="002A703E"/>
    <w:rsid w:val="002B4433"/>
    <w:rsid w:val="002C5DA4"/>
    <w:rsid w:val="002E77B9"/>
    <w:rsid w:val="00307205"/>
    <w:rsid w:val="00335DAF"/>
    <w:rsid w:val="0035300B"/>
    <w:rsid w:val="003722B7"/>
    <w:rsid w:val="00384C9E"/>
    <w:rsid w:val="003A4AD9"/>
    <w:rsid w:val="003B2D02"/>
    <w:rsid w:val="003B7AAC"/>
    <w:rsid w:val="003C713B"/>
    <w:rsid w:val="003D3782"/>
    <w:rsid w:val="003E41BC"/>
    <w:rsid w:val="003F4EEF"/>
    <w:rsid w:val="003F5736"/>
    <w:rsid w:val="00415D95"/>
    <w:rsid w:val="004229BF"/>
    <w:rsid w:val="00481E6B"/>
    <w:rsid w:val="00492856"/>
    <w:rsid w:val="00494F0E"/>
    <w:rsid w:val="004B5B82"/>
    <w:rsid w:val="004B6B60"/>
    <w:rsid w:val="004D44E7"/>
    <w:rsid w:val="004F6F56"/>
    <w:rsid w:val="005120A6"/>
    <w:rsid w:val="005145EE"/>
    <w:rsid w:val="00515D76"/>
    <w:rsid w:val="005306E2"/>
    <w:rsid w:val="00535E83"/>
    <w:rsid w:val="005650D6"/>
    <w:rsid w:val="005A04CB"/>
    <w:rsid w:val="005B4E69"/>
    <w:rsid w:val="005E6EDE"/>
    <w:rsid w:val="00637285"/>
    <w:rsid w:val="00637A14"/>
    <w:rsid w:val="006768FE"/>
    <w:rsid w:val="00692693"/>
    <w:rsid w:val="00697ECC"/>
    <w:rsid w:val="006C3C74"/>
    <w:rsid w:val="006C5C9E"/>
    <w:rsid w:val="006E521A"/>
    <w:rsid w:val="006E5FB3"/>
    <w:rsid w:val="00707491"/>
    <w:rsid w:val="0072412B"/>
    <w:rsid w:val="00746904"/>
    <w:rsid w:val="00746AAC"/>
    <w:rsid w:val="00752BF6"/>
    <w:rsid w:val="00756A1D"/>
    <w:rsid w:val="00776D40"/>
    <w:rsid w:val="007942D5"/>
    <w:rsid w:val="00796531"/>
    <w:rsid w:val="007A6974"/>
    <w:rsid w:val="007A7193"/>
    <w:rsid w:val="007C68DE"/>
    <w:rsid w:val="007D5FFF"/>
    <w:rsid w:val="007F3E92"/>
    <w:rsid w:val="008053A3"/>
    <w:rsid w:val="008336C6"/>
    <w:rsid w:val="00835E57"/>
    <w:rsid w:val="00840A54"/>
    <w:rsid w:val="00850C0B"/>
    <w:rsid w:val="00855B8B"/>
    <w:rsid w:val="00862B8A"/>
    <w:rsid w:val="00881981"/>
    <w:rsid w:val="00882285"/>
    <w:rsid w:val="00884C7E"/>
    <w:rsid w:val="00885477"/>
    <w:rsid w:val="008D2C2D"/>
    <w:rsid w:val="009025C3"/>
    <w:rsid w:val="00914E3E"/>
    <w:rsid w:val="0092643E"/>
    <w:rsid w:val="00940DBE"/>
    <w:rsid w:val="009C2479"/>
    <w:rsid w:val="009C579B"/>
    <w:rsid w:val="009D2ED5"/>
    <w:rsid w:val="009D61B4"/>
    <w:rsid w:val="009E2C80"/>
    <w:rsid w:val="009E7CCC"/>
    <w:rsid w:val="00A30B69"/>
    <w:rsid w:val="00A3186E"/>
    <w:rsid w:val="00A452A6"/>
    <w:rsid w:val="00A47BD1"/>
    <w:rsid w:val="00A80574"/>
    <w:rsid w:val="00A90F0B"/>
    <w:rsid w:val="00AA2731"/>
    <w:rsid w:val="00AA444A"/>
    <w:rsid w:val="00AC6C55"/>
    <w:rsid w:val="00AE7071"/>
    <w:rsid w:val="00B217E8"/>
    <w:rsid w:val="00B34214"/>
    <w:rsid w:val="00B358D0"/>
    <w:rsid w:val="00B532B9"/>
    <w:rsid w:val="00B5634B"/>
    <w:rsid w:val="00B61C33"/>
    <w:rsid w:val="00BE7F00"/>
    <w:rsid w:val="00C2419A"/>
    <w:rsid w:val="00C51D9E"/>
    <w:rsid w:val="00C70B3E"/>
    <w:rsid w:val="00C83C7A"/>
    <w:rsid w:val="00CD165E"/>
    <w:rsid w:val="00D3152C"/>
    <w:rsid w:val="00D35F82"/>
    <w:rsid w:val="00D82CA8"/>
    <w:rsid w:val="00DA4E9C"/>
    <w:rsid w:val="00DB6D12"/>
    <w:rsid w:val="00DD6860"/>
    <w:rsid w:val="00DE1CA6"/>
    <w:rsid w:val="00DE530A"/>
    <w:rsid w:val="00DE7050"/>
    <w:rsid w:val="00E134AE"/>
    <w:rsid w:val="00E145A0"/>
    <w:rsid w:val="00E334D3"/>
    <w:rsid w:val="00E36CAB"/>
    <w:rsid w:val="00E42B48"/>
    <w:rsid w:val="00E436F5"/>
    <w:rsid w:val="00E500BC"/>
    <w:rsid w:val="00E50B88"/>
    <w:rsid w:val="00E71AFA"/>
    <w:rsid w:val="00E76152"/>
    <w:rsid w:val="00E949CB"/>
    <w:rsid w:val="00EA5AA4"/>
    <w:rsid w:val="00EA72EF"/>
    <w:rsid w:val="00EB3736"/>
    <w:rsid w:val="00EB3ABC"/>
    <w:rsid w:val="00EC2E2B"/>
    <w:rsid w:val="00ED33FA"/>
    <w:rsid w:val="00EF3937"/>
    <w:rsid w:val="00F0046B"/>
    <w:rsid w:val="00F57B20"/>
    <w:rsid w:val="00F6614C"/>
    <w:rsid w:val="00F97CA1"/>
    <w:rsid w:val="00FA0051"/>
    <w:rsid w:val="00FA64F6"/>
    <w:rsid w:val="00FF1B1C"/>
    <w:rsid w:val="03BA56F6"/>
    <w:rsid w:val="1CB87339"/>
    <w:rsid w:val="248C49E5"/>
    <w:rsid w:val="2ED75C91"/>
    <w:rsid w:val="412F3464"/>
    <w:rsid w:val="56704E63"/>
    <w:rsid w:val="583A29B2"/>
    <w:rsid w:val="668D0FD3"/>
    <w:rsid w:val="675A7F68"/>
    <w:rsid w:val="74E522B4"/>
    <w:rsid w:val="75232ABD"/>
    <w:rsid w:val="77265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0"/>
    <w:pPr>
      <w:jc w:val="left"/>
    </w:pPr>
  </w:style>
  <w:style w:type="paragraph" w:styleId="3">
    <w:name w:val="Balloon Text"/>
    <w:basedOn w:val="1"/>
    <w:link w:val="18"/>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HTML Preformatted"/>
    <w:basedOn w:val="1"/>
    <w:link w:val="2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styleId="12">
    <w:name w:val="annotation reference"/>
    <w:basedOn w:val="10"/>
    <w:unhideWhenUsed/>
    <w:qFormat/>
    <w:uiPriority w:val="0"/>
    <w:rPr>
      <w:sz w:val="21"/>
      <w:szCs w:val="21"/>
    </w:rPr>
  </w:style>
  <w:style w:type="character" w:customStyle="1" w:styleId="13">
    <w:name w:val="页眉 Char"/>
    <w:basedOn w:val="10"/>
    <w:link w:val="5"/>
    <w:qFormat/>
    <w:uiPriority w:val="99"/>
    <w:rPr>
      <w:sz w:val="18"/>
      <w:szCs w:val="18"/>
    </w:rPr>
  </w:style>
  <w:style w:type="character" w:customStyle="1" w:styleId="14">
    <w:name w:val="页脚 Char"/>
    <w:basedOn w:val="10"/>
    <w:link w:val="4"/>
    <w:qFormat/>
    <w:uiPriority w:val="99"/>
    <w:rPr>
      <w:sz w:val="18"/>
      <w:szCs w:val="18"/>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6">
    <w:name w:val="批注文字 Char"/>
    <w:basedOn w:val="10"/>
    <w:link w:val="2"/>
    <w:qFormat/>
    <w:uiPriority w:val="99"/>
    <w:rPr>
      <w:rFonts w:ascii="Calibri" w:hAnsi="Calibri" w:eastAsia="宋体" w:cs="宋体"/>
    </w:rPr>
  </w:style>
  <w:style w:type="character" w:customStyle="1" w:styleId="17">
    <w:name w:val="批注主题 Char"/>
    <w:basedOn w:val="16"/>
    <w:link w:val="7"/>
    <w:semiHidden/>
    <w:qFormat/>
    <w:uiPriority w:val="99"/>
    <w:rPr>
      <w:rFonts w:ascii="Calibri" w:hAnsi="Calibri" w:eastAsia="宋体" w:cs="宋体"/>
      <w:b/>
      <w:bCs/>
    </w:rPr>
  </w:style>
  <w:style w:type="character" w:customStyle="1" w:styleId="18">
    <w:name w:val="批注框文本 Char"/>
    <w:basedOn w:val="10"/>
    <w:link w:val="3"/>
    <w:semiHidden/>
    <w:qFormat/>
    <w:uiPriority w:val="99"/>
    <w:rPr>
      <w:rFonts w:ascii="Calibri" w:hAnsi="Calibri" w:eastAsia="宋体" w:cs="宋体"/>
      <w:sz w:val="18"/>
      <w:szCs w:val="18"/>
    </w:rPr>
  </w:style>
  <w:style w:type="paragraph" w:styleId="19">
    <w:name w:val="List Paragraph"/>
    <w:basedOn w:val="1"/>
    <w:qFormat/>
    <w:uiPriority w:val="34"/>
    <w:pPr>
      <w:ind w:firstLine="420" w:firstLineChars="200"/>
    </w:pPr>
  </w:style>
  <w:style w:type="character" w:customStyle="1" w:styleId="20">
    <w:name w:val="HTML 预设格式 Char"/>
    <w:basedOn w:val="10"/>
    <w:link w:val="6"/>
    <w:qFormat/>
    <w:uiPriority w:val="99"/>
    <w:rPr>
      <w:rFonts w:ascii="宋体" w:hAnsi="宋体" w:eastAsia="宋体" w:cs="宋体"/>
      <w:kern w:val="0"/>
      <w:sz w:val="24"/>
      <w:szCs w:val="2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EF03B-F6E0-4584-AF92-9E99228B0A76}">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6</Pages>
  <Words>651</Words>
  <Characters>3713</Characters>
  <Lines>30</Lines>
  <Paragraphs>8</Paragraphs>
  <TotalTime>0</TotalTime>
  <ScaleCrop>false</ScaleCrop>
  <LinksUpToDate>false</LinksUpToDate>
  <CharactersWithSpaces>4356</CharactersWithSpaces>
  <Application>WPS Office_12.1.0.22529_F1E327BC-269C-435d-A152-05C5408002CA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2024-03-04T01:43:00Z</dcterms:created>
  <dc:creator>胡骁潇</dc:creator>
  <cp:lastModifiedBy>cib</cp:lastModifiedBy>
  <dcterms:modified xsi:type="dcterms:W3CDTF">2026-03-03T02:25:12Z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4F7C0EECCFF44B99BA78A381CA2216F3_13</vt:lpwstr>
  </property>
</Properties>
</file>